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A3A57" w14:textId="77777777" w:rsidR="000B3FBF" w:rsidRDefault="000B3FBF" w:rsidP="000B3FBF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14:paraId="5E6FD02D" w14:textId="370986C0" w:rsidR="0007449D" w:rsidRDefault="00F13788" w:rsidP="000B3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181B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ppi</w:t>
      </w:r>
      <w:r w:rsidR="00073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acei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4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sicuri ed efficaci</w:t>
      </w:r>
      <w:r w:rsidR="00073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nel dolore oncologico</w:t>
      </w:r>
    </w:p>
    <w:p w14:paraId="017506FB" w14:textId="431CD23F" w:rsidR="00750B6D" w:rsidRDefault="00F13788" w:rsidP="000B3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È</w:t>
      </w:r>
      <w:r w:rsidRPr="00F137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mportante non demonizzare la terapia analgesica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d</w:t>
      </w:r>
      <w:r w:rsidR="00074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ipendenza e overdose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sono </w:t>
      </w:r>
      <w:r w:rsidR="00074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dovute soprattutto 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 </w:t>
      </w:r>
      <w:r w:rsidR="00074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uso non medico</w:t>
      </w:r>
    </w:p>
    <w:p w14:paraId="69D45DB5" w14:textId="77777777" w:rsidR="002B6434" w:rsidRPr="0009620E" w:rsidRDefault="002B6434" w:rsidP="000B3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BC37AA" w14:textId="159245BB" w:rsidR="0007449D" w:rsidRDefault="0007449D" w:rsidP="000731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07449D">
        <w:rPr>
          <w:rFonts w:ascii="Times New Roman" w:hAnsi="Times New Roman" w:cs="Times New Roman"/>
          <w:i/>
          <w:sz w:val="24"/>
          <w:szCs w:val="24"/>
        </w:rPr>
        <w:t>aramente l’</w:t>
      </w:r>
      <w:r w:rsidR="00073150">
        <w:rPr>
          <w:rFonts w:ascii="Times New Roman" w:hAnsi="Times New Roman" w:cs="Times New Roman"/>
          <w:i/>
          <w:sz w:val="24"/>
          <w:szCs w:val="24"/>
        </w:rPr>
        <w:t>uso</w:t>
      </w:r>
      <w:r w:rsidRPr="0007449D">
        <w:rPr>
          <w:rFonts w:ascii="Times New Roman" w:hAnsi="Times New Roman" w:cs="Times New Roman"/>
          <w:i/>
          <w:sz w:val="24"/>
          <w:szCs w:val="24"/>
        </w:rPr>
        <w:t xml:space="preserve"> d</w:t>
      </w: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07449D">
        <w:rPr>
          <w:rFonts w:ascii="Times New Roman" w:hAnsi="Times New Roman" w:cs="Times New Roman"/>
          <w:i/>
          <w:sz w:val="24"/>
          <w:szCs w:val="24"/>
        </w:rPr>
        <w:t>oppi</w:t>
      </w:r>
      <w:r w:rsidR="00073150">
        <w:rPr>
          <w:rFonts w:ascii="Times New Roman" w:hAnsi="Times New Roman" w:cs="Times New Roman"/>
          <w:i/>
          <w:sz w:val="24"/>
          <w:szCs w:val="24"/>
        </w:rPr>
        <w:t>acei</w:t>
      </w:r>
      <w:r w:rsidRPr="0007449D">
        <w:rPr>
          <w:rFonts w:ascii="Times New Roman" w:hAnsi="Times New Roman" w:cs="Times New Roman"/>
          <w:i/>
          <w:sz w:val="24"/>
          <w:szCs w:val="24"/>
        </w:rPr>
        <w:t xml:space="preserve"> interferisce in modo negativo con la gestione dei pazienti oncologici. </w:t>
      </w:r>
      <w:r w:rsidR="00073150">
        <w:rPr>
          <w:rFonts w:ascii="Times New Roman" w:hAnsi="Times New Roman" w:cs="Times New Roman"/>
          <w:i/>
          <w:sz w:val="24"/>
          <w:szCs w:val="24"/>
        </w:rPr>
        <w:t>Overdose e dipendenza sono</w:t>
      </w:r>
      <w:r w:rsidR="00073150" w:rsidRPr="00073150">
        <w:rPr>
          <w:rFonts w:ascii="Times New Roman" w:hAnsi="Times New Roman" w:cs="Times New Roman"/>
          <w:i/>
          <w:sz w:val="24"/>
          <w:szCs w:val="24"/>
        </w:rPr>
        <w:t xml:space="preserve"> principalmente </w:t>
      </w:r>
      <w:r w:rsidR="00073150">
        <w:rPr>
          <w:rFonts w:ascii="Times New Roman" w:hAnsi="Times New Roman" w:cs="Times New Roman"/>
          <w:i/>
          <w:sz w:val="24"/>
          <w:szCs w:val="24"/>
        </w:rPr>
        <w:t xml:space="preserve">da correlare </w:t>
      </w:r>
      <w:r w:rsidR="00073150" w:rsidRPr="00073150">
        <w:rPr>
          <w:rFonts w:ascii="Times New Roman" w:hAnsi="Times New Roman" w:cs="Times New Roman"/>
          <w:i/>
          <w:sz w:val="24"/>
          <w:szCs w:val="24"/>
        </w:rPr>
        <w:t>all’uso non</w:t>
      </w:r>
      <w:r w:rsidR="00073150">
        <w:rPr>
          <w:rFonts w:ascii="Times New Roman" w:hAnsi="Times New Roman" w:cs="Times New Roman"/>
          <w:i/>
          <w:sz w:val="24"/>
          <w:szCs w:val="24"/>
        </w:rPr>
        <w:t>-</w:t>
      </w:r>
      <w:r w:rsidR="00073150" w:rsidRPr="00073150">
        <w:rPr>
          <w:rFonts w:ascii="Times New Roman" w:hAnsi="Times New Roman" w:cs="Times New Roman"/>
          <w:i/>
          <w:sz w:val="24"/>
          <w:szCs w:val="24"/>
        </w:rPr>
        <w:t>medico</w:t>
      </w:r>
      <w:r w:rsidR="00074333">
        <w:rPr>
          <w:rFonts w:ascii="Times New Roman" w:hAnsi="Times New Roman" w:cs="Times New Roman"/>
          <w:i/>
          <w:sz w:val="24"/>
          <w:szCs w:val="24"/>
        </w:rPr>
        <w:t>. Il</w:t>
      </w:r>
      <w:r w:rsidR="00073150">
        <w:rPr>
          <w:rFonts w:ascii="Times New Roman" w:hAnsi="Times New Roman" w:cs="Times New Roman"/>
          <w:i/>
          <w:sz w:val="24"/>
          <w:szCs w:val="24"/>
        </w:rPr>
        <w:t xml:space="preserve"> ricorso a</w:t>
      </w:r>
      <w:r>
        <w:rPr>
          <w:rFonts w:ascii="Times New Roman" w:hAnsi="Times New Roman" w:cs="Times New Roman"/>
          <w:i/>
          <w:sz w:val="24"/>
          <w:szCs w:val="24"/>
        </w:rPr>
        <w:t xml:space="preserve"> questi farmaci</w:t>
      </w:r>
      <w:r w:rsidRPr="0007449D">
        <w:rPr>
          <w:rFonts w:ascii="Times New Roman" w:hAnsi="Times New Roman" w:cs="Times New Roman"/>
          <w:i/>
          <w:sz w:val="24"/>
          <w:szCs w:val="24"/>
        </w:rPr>
        <w:t xml:space="preserve"> nel dolore cronico non oncologico è </w:t>
      </w:r>
      <w:r w:rsidR="00073150">
        <w:rPr>
          <w:rFonts w:ascii="Times New Roman" w:hAnsi="Times New Roman" w:cs="Times New Roman"/>
          <w:i/>
          <w:sz w:val="24"/>
          <w:szCs w:val="24"/>
        </w:rPr>
        <w:t xml:space="preserve">invece </w:t>
      </w:r>
      <w:r w:rsidRPr="0007449D">
        <w:rPr>
          <w:rFonts w:ascii="Times New Roman" w:hAnsi="Times New Roman" w:cs="Times New Roman"/>
          <w:i/>
          <w:sz w:val="24"/>
          <w:szCs w:val="24"/>
        </w:rPr>
        <w:t>ancor</w:t>
      </w:r>
      <w:r w:rsidR="00073150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07449D">
        <w:rPr>
          <w:rFonts w:ascii="Times New Roman" w:hAnsi="Times New Roman" w:cs="Times New Roman"/>
          <w:i/>
          <w:sz w:val="24"/>
          <w:szCs w:val="24"/>
        </w:rPr>
        <w:t>oggetto di discussione</w:t>
      </w:r>
      <w:r w:rsidR="00073150">
        <w:rPr>
          <w:rFonts w:ascii="Times New Roman" w:hAnsi="Times New Roman" w:cs="Times New Roman"/>
          <w:i/>
          <w:sz w:val="24"/>
          <w:szCs w:val="24"/>
        </w:rPr>
        <w:t>.</w:t>
      </w:r>
      <w:r w:rsidR="00074333">
        <w:rPr>
          <w:rFonts w:ascii="Times New Roman" w:hAnsi="Times New Roman" w:cs="Times New Roman"/>
          <w:i/>
          <w:sz w:val="24"/>
          <w:szCs w:val="24"/>
        </w:rPr>
        <w:t xml:space="preserve"> Preoccupano intanto i dati sull’abuso che vengono dagli Stati Uniti, mentre</w:t>
      </w:r>
      <w:r w:rsidR="000731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4333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="00073150">
        <w:rPr>
          <w:rFonts w:ascii="Times New Roman" w:hAnsi="Times New Roman" w:cs="Times New Roman"/>
          <w:i/>
          <w:sz w:val="24"/>
          <w:szCs w:val="24"/>
        </w:rPr>
        <w:t xml:space="preserve">Società Italiana di Farmacologia pubblica </w:t>
      </w:r>
      <w:r w:rsidR="00074333">
        <w:rPr>
          <w:rFonts w:ascii="Times New Roman" w:hAnsi="Times New Roman" w:cs="Times New Roman"/>
          <w:i/>
          <w:sz w:val="24"/>
          <w:szCs w:val="24"/>
        </w:rPr>
        <w:t>sul tema il nuovo</w:t>
      </w:r>
      <w:r w:rsidR="00073150">
        <w:rPr>
          <w:rFonts w:ascii="Times New Roman" w:hAnsi="Times New Roman" w:cs="Times New Roman"/>
          <w:i/>
          <w:sz w:val="24"/>
          <w:szCs w:val="24"/>
        </w:rPr>
        <w:t xml:space="preserve"> Position </w:t>
      </w:r>
      <w:proofErr w:type="spellStart"/>
      <w:r w:rsidR="00073150">
        <w:rPr>
          <w:rFonts w:ascii="Times New Roman" w:hAnsi="Times New Roman" w:cs="Times New Roman"/>
          <w:i/>
          <w:sz w:val="24"/>
          <w:szCs w:val="24"/>
        </w:rPr>
        <w:t>Paper</w:t>
      </w:r>
      <w:proofErr w:type="spellEnd"/>
      <w:r w:rsidR="00073150"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="00073150" w:rsidRPr="00073150">
        <w:rPr>
          <w:rFonts w:ascii="Times New Roman" w:hAnsi="Times New Roman" w:cs="Times New Roman"/>
          <w:i/>
          <w:sz w:val="24"/>
          <w:szCs w:val="24"/>
        </w:rPr>
        <w:t>Trattamen</w:t>
      </w:r>
      <w:r w:rsidR="00FA2576">
        <w:rPr>
          <w:rFonts w:ascii="Times New Roman" w:hAnsi="Times New Roman" w:cs="Times New Roman"/>
          <w:i/>
          <w:sz w:val="24"/>
          <w:szCs w:val="24"/>
        </w:rPr>
        <w:t>to del dolore cronico in Italia.</w:t>
      </w:r>
      <w:r w:rsidR="00073150" w:rsidRPr="000731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2576" w:rsidRPr="00073150">
        <w:rPr>
          <w:rFonts w:ascii="Times New Roman" w:hAnsi="Times New Roman" w:cs="Times New Roman"/>
          <w:i/>
          <w:sz w:val="24"/>
          <w:szCs w:val="24"/>
        </w:rPr>
        <w:t>Appropriatezza</w:t>
      </w:r>
      <w:r w:rsidR="00073150" w:rsidRPr="00073150">
        <w:rPr>
          <w:rFonts w:ascii="Times New Roman" w:hAnsi="Times New Roman" w:cs="Times New Roman"/>
          <w:i/>
          <w:sz w:val="24"/>
          <w:szCs w:val="24"/>
        </w:rPr>
        <w:t xml:space="preserve"> terapeutica con oppiacei e timore di </w:t>
      </w:r>
      <w:proofErr w:type="spellStart"/>
      <w:r w:rsidR="00073150" w:rsidRPr="00073150">
        <w:rPr>
          <w:rFonts w:ascii="Times New Roman" w:hAnsi="Times New Roman" w:cs="Times New Roman"/>
          <w:i/>
          <w:sz w:val="24"/>
          <w:szCs w:val="24"/>
        </w:rPr>
        <w:t>addiction</w:t>
      </w:r>
      <w:proofErr w:type="spellEnd"/>
      <w:r w:rsidR="00073150" w:rsidRPr="00073150">
        <w:rPr>
          <w:rFonts w:ascii="Times New Roman" w:hAnsi="Times New Roman" w:cs="Times New Roman"/>
          <w:i/>
          <w:sz w:val="24"/>
          <w:szCs w:val="24"/>
        </w:rPr>
        <w:t>: situazione italiana vs USA</w:t>
      </w:r>
      <w:r w:rsidR="00073150">
        <w:rPr>
          <w:rFonts w:ascii="Times New Roman" w:hAnsi="Times New Roman" w:cs="Times New Roman"/>
          <w:i/>
          <w:sz w:val="24"/>
          <w:szCs w:val="24"/>
        </w:rPr>
        <w:t xml:space="preserve">” </w:t>
      </w:r>
    </w:p>
    <w:p w14:paraId="0E6D8AB9" w14:textId="6C71AB27" w:rsidR="003A407F" w:rsidRDefault="00073150" w:rsidP="00073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Milano – </w:t>
      </w:r>
      <w:r w:rsidR="006E43F3">
        <w:rPr>
          <w:rFonts w:ascii="Times New Roman" w:hAnsi="Times New Roman" w:cs="Times New Roman"/>
          <w:sz w:val="24"/>
          <w:szCs w:val="24"/>
        </w:rPr>
        <w:t>17 aprile</w:t>
      </w:r>
      <w:r>
        <w:rPr>
          <w:rFonts w:ascii="Times New Roman" w:hAnsi="Times New Roman" w:cs="Times New Roman"/>
          <w:sz w:val="24"/>
          <w:szCs w:val="24"/>
        </w:rPr>
        <w:t xml:space="preserve"> 2018. </w:t>
      </w:r>
      <w:r w:rsidRPr="00073150">
        <w:rPr>
          <w:rFonts w:ascii="Times New Roman" w:hAnsi="Times New Roman" w:cs="Times New Roman"/>
          <w:sz w:val="24"/>
          <w:szCs w:val="24"/>
        </w:rPr>
        <w:t xml:space="preserve">Dati allarmanti provengono dagli Stati Uniti d’America dove si sta assistendo a una vera e propria </w:t>
      </w:r>
      <w:r w:rsidRPr="00074333">
        <w:rPr>
          <w:rFonts w:ascii="Times New Roman" w:hAnsi="Times New Roman" w:cs="Times New Roman"/>
          <w:b/>
          <w:sz w:val="24"/>
          <w:szCs w:val="24"/>
        </w:rPr>
        <w:t>epidemia legata ad abuso e overdose da farmaci oppiacei</w:t>
      </w:r>
      <w:r w:rsidRPr="00073150">
        <w:rPr>
          <w:rFonts w:ascii="Times New Roman" w:hAnsi="Times New Roman" w:cs="Times New Roman"/>
          <w:sz w:val="24"/>
          <w:szCs w:val="24"/>
        </w:rPr>
        <w:t xml:space="preserve"> prescritti per il controllo del dolore </w:t>
      </w:r>
      <w:r w:rsidR="00535F97">
        <w:rPr>
          <w:rFonts w:ascii="Times New Roman" w:hAnsi="Times New Roman" w:cs="Times New Roman"/>
          <w:sz w:val="24"/>
          <w:szCs w:val="24"/>
        </w:rPr>
        <w:t xml:space="preserve">cronico </w:t>
      </w:r>
      <w:r w:rsidRPr="00073150">
        <w:rPr>
          <w:rFonts w:ascii="Times New Roman" w:hAnsi="Times New Roman" w:cs="Times New Roman"/>
          <w:sz w:val="24"/>
          <w:szCs w:val="24"/>
        </w:rPr>
        <w:t xml:space="preserve">non oncologico. Negli </w:t>
      </w:r>
      <w:r>
        <w:rPr>
          <w:rFonts w:ascii="Times New Roman" w:hAnsi="Times New Roman" w:cs="Times New Roman"/>
          <w:sz w:val="24"/>
          <w:szCs w:val="24"/>
        </w:rPr>
        <w:t>USA</w:t>
      </w:r>
      <w:r w:rsidRPr="00073150">
        <w:rPr>
          <w:rFonts w:ascii="Times New Roman" w:hAnsi="Times New Roman" w:cs="Times New Roman"/>
          <w:sz w:val="24"/>
          <w:szCs w:val="24"/>
        </w:rPr>
        <w:t xml:space="preserve"> il fenomeno è presente in quasi tutte le fasce d’età e il tasso di mortalità più alto, in entrambi i sessi, si registra tra i 45 e i 54 anni. Attualmente più del 3% della popolazione adulta negli Stati Uniti riceve una terapia cronica con </w:t>
      </w:r>
      <w:r w:rsidR="003A407F">
        <w:rPr>
          <w:rFonts w:ascii="Times New Roman" w:hAnsi="Times New Roman" w:cs="Times New Roman"/>
          <w:sz w:val="24"/>
          <w:szCs w:val="24"/>
        </w:rPr>
        <w:t>questi farmaci</w:t>
      </w:r>
      <w:r w:rsidRPr="000731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Per comprendere il fenomeno americano va chiarito </w:t>
      </w:r>
      <w:r w:rsidR="003A407F">
        <w:rPr>
          <w:rFonts w:ascii="Times New Roman" w:hAnsi="Times New Roman" w:cs="Times New Roman"/>
          <w:sz w:val="24"/>
          <w:szCs w:val="24"/>
        </w:rPr>
        <w:t xml:space="preserve">però che ruolo abbia </w:t>
      </w:r>
      <w:r w:rsidR="003A407F" w:rsidRPr="00074333">
        <w:rPr>
          <w:rFonts w:ascii="Times New Roman" w:hAnsi="Times New Roman" w:cs="Times New Roman"/>
          <w:b/>
          <w:sz w:val="24"/>
          <w:szCs w:val="24"/>
        </w:rPr>
        <w:t xml:space="preserve">l’utilizzo non-medico di questi farmaci, e quindi </w:t>
      </w:r>
      <w:r w:rsidRPr="00074333">
        <w:rPr>
          <w:rFonts w:ascii="Times New Roman" w:hAnsi="Times New Roman" w:cs="Times New Roman"/>
          <w:b/>
          <w:sz w:val="24"/>
          <w:szCs w:val="24"/>
        </w:rPr>
        <w:t xml:space="preserve">l’abuso, il </w:t>
      </w:r>
      <w:proofErr w:type="spellStart"/>
      <w:r w:rsidRPr="00074333">
        <w:rPr>
          <w:rFonts w:ascii="Times New Roman" w:hAnsi="Times New Roman" w:cs="Times New Roman"/>
          <w:b/>
          <w:sz w:val="24"/>
          <w:szCs w:val="24"/>
        </w:rPr>
        <w:t>misuso</w:t>
      </w:r>
      <w:proofErr w:type="spellEnd"/>
      <w:r w:rsidRPr="00074333">
        <w:rPr>
          <w:rFonts w:ascii="Times New Roman" w:hAnsi="Times New Roman" w:cs="Times New Roman"/>
          <w:b/>
          <w:sz w:val="24"/>
          <w:szCs w:val="24"/>
        </w:rPr>
        <w:t xml:space="preserve"> e la diversione</w:t>
      </w:r>
      <w:r w:rsidR="00535F97">
        <w:rPr>
          <w:rFonts w:ascii="Times New Roman" w:hAnsi="Times New Roman" w:cs="Times New Roman"/>
          <w:sz w:val="24"/>
          <w:szCs w:val="24"/>
        </w:rPr>
        <w:t>. Con</w:t>
      </w:r>
      <w:r w:rsidRPr="00073150">
        <w:rPr>
          <w:rFonts w:ascii="Times New Roman" w:hAnsi="Times New Roman" w:cs="Times New Roman"/>
          <w:sz w:val="24"/>
          <w:szCs w:val="24"/>
        </w:rPr>
        <w:t xml:space="preserve"> il termine </w:t>
      </w:r>
      <w:r w:rsidR="003A407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407F">
        <w:rPr>
          <w:rFonts w:ascii="Times New Roman" w:hAnsi="Times New Roman" w:cs="Times New Roman"/>
          <w:sz w:val="24"/>
          <w:szCs w:val="24"/>
        </w:rPr>
        <w:t>misuso</w:t>
      </w:r>
      <w:proofErr w:type="spellEnd"/>
      <w:r w:rsidR="003A407F">
        <w:rPr>
          <w:rFonts w:ascii="Times New Roman" w:hAnsi="Times New Roman" w:cs="Times New Roman"/>
          <w:sz w:val="24"/>
          <w:szCs w:val="24"/>
        </w:rPr>
        <w:t>»</w:t>
      </w:r>
      <w:r w:rsidRPr="00073150">
        <w:rPr>
          <w:rFonts w:ascii="Times New Roman" w:hAnsi="Times New Roman" w:cs="Times New Roman"/>
          <w:sz w:val="24"/>
          <w:szCs w:val="24"/>
        </w:rPr>
        <w:t xml:space="preserve"> si intende qualsiasi uso del farmaco al di fuori della prescrizione medica</w:t>
      </w:r>
      <w:r w:rsidR="003A407F">
        <w:rPr>
          <w:rFonts w:ascii="Times New Roman" w:hAnsi="Times New Roman" w:cs="Times New Roman"/>
          <w:sz w:val="24"/>
          <w:szCs w:val="24"/>
        </w:rPr>
        <w:t>,</w:t>
      </w:r>
      <w:r w:rsidRPr="00073150">
        <w:rPr>
          <w:rFonts w:ascii="Times New Roman" w:hAnsi="Times New Roman" w:cs="Times New Roman"/>
          <w:sz w:val="24"/>
          <w:szCs w:val="24"/>
        </w:rPr>
        <w:t xml:space="preserve"> mentre con quello di </w:t>
      </w:r>
      <w:r w:rsidR="003A407F">
        <w:rPr>
          <w:rFonts w:ascii="Times New Roman" w:hAnsi="Times New Roman" w:cs="Times New Roman"/>
          <w:sz w:val="24"/>
          <w:szCs w:val="24"/>
        </w:rPr>
        <w:t>«</w:t>
      </w:r>
      <w:r w:rsidRPr="00073150">
        <w:rPr>
          <w:rFonts w:ascii="Times New Roman" w:hAnsi="Times New Roman" w:cs="Times New Roman"/>
          <w:sz w:val="24"/>
          <w:szCs w:val="24"/>
        </w:rPr>
        <w:t>diversione</w:t>
      </w:r>
      <w:r w:rsidR="003A407F">
        <w:rPr>
          <w:rFonts w:ascii="Times New Roman" w:hAnsi="Times New Roman" w:cs="Times New Roman"/>
          <w:sz w:val="24"/>
          <w:szCs w:val="24"/>
        </w:rPr>
        <w:t>»</w:t>
      </w:r>
      <w:r w:rsidRPr="00073150">
        <w:rPr>
          <w:rFonts w:ascii="Times New Roman" w:hAnsi="Times New Roman" w:cs="Times New Roman"/>
          <w:sz w:val="24"/>
          <w:szCs w:val="24"/>
        </w:rPr>
        <w:t xml:space="preserve"> si intende l’approvvigionamento non approvato di un farmaco tramite scambio, condivisione/cessione o vendita illecita</w:t>
      </w:r>
      <w:r w:rsidR="003A407F">
        <w:rPr>
          <w:rFonts w:ascii="Times New Roman" w:hAnsi="Times New Roman" w:cs="Times New Roman"/>
          <w:sz w:val="24"/>
          <w:szCs w:val="24"/>
        </w:rPr>
        <w:t xml:space="preserve">. Lo scrive la Società Italiana di Farmacologia (SIF) in un nuovo Position </w:t>
      </w:r>
      <w:proofErr w:type="spellStart"/>
      <w:r w:rsidR="003A407F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3A407F">
        <w:rPr>
          <w:rFonts w:ascii="Times New Roman" w:hAnsi="Times New Roman" w:cs="Times New Roman"/>
          <w:sz w:val="24"/>
          <w:szCs w:val="24"/>
        </w:rPr>
        <w:t xml:space="preserve"> intitolato «</w:t>
      </w:r>
      <w:r w:rsidR="003A407F" w:rsidRPr="003A407F">
        <w:rPr>
          <w:rFonts w:ascii="Times New Roman" w:hAnsi="Times New Roman" w:cs="Times New Roman"/>
          <w:sz w:val="24"/>
          <w:szCs w:val="24"/>
        </w:rPr>
        <w:t>Trattamen</w:t>
      </w:r>
      <w:r w:rsidR="00535F97">
        <w:rPr>
          <w:rFonts w:ascii="Times New Roman" w:hAnsi="Times New Roman" w:cs="Times New Roman"/>
          <w:sz w:val="24"/>
          <w:szCs w:val="24"/>
        </w:rPr>
        <w:t>to del dolore cronico in Italia. A</w:t>
      </w:r>
      <w:r w:rsidR="003A407F" w:rsidRPr="003A407F">
        <w:rPr>
          <w:rFonts w:ascii="Times New Roman" w:hAnsi="Times New Roman" w:cs="Times New Roman"/>
          <w:sz w:val="24"/>
          <w:szCs w:val="24"/>
        </w:rPr>
        <w:t xml:space="preserve">ppropriatezza terapeutica con oppiacei e timore di </w:t>
      </w:r>
      <w:proofErr w:type="spellStart"/>
      <w:r w:rsidR="003A407F" w:rsidRPr="003A407F">
        <w:rPr>
          <w:rFonts w:ascii="Times New Roman" w:hAnsi="Times New Roman" w:cs="Times New Roman"/>
          <w:sz w:val="24"/>
          <w:szCs w:val="24"/>
        </w:rPr>
        <w:t>addiction</w:t>
      </w:r>
      <w:proofErr w:type="spellEnd"/>
      <w:r w:rsidR="003A407F" w:rsidRPr="003A407F">
        <w:rPr>
          <w:rFonts w:ascii="Times New Roman" w:hAnsi="Times New Roman" w:cs="Times New Roman"/>
          <w:sz w:val="24"/>
          <w:szCs w:val="24"/>
        </w:rPr>
        <w:t>: situazione italiana vs USA</w:t>
      </w:r>
      <w:r w:rsidR="003A407F">
        <w:rPr>
          <w:rFonts w:ascii="Times New Roman" w:hAnsi="Times New Roman" w:cs="Times New Roman"/>
          <w:sz w:val="24"/>
          <w:szCs w:val="24"/>
        </w:rPr>
        <w:t>»</w:t>
      </w:r>
    </w:p>
    <w:p w14:paraId="72D893BE" w14:textId="12BB2950" w:rsidR="007663DF" w:rsidRDefault="003A407F" w:rsidP="00073150">
      <w:pPr>
        <w:jc w:val="both"/>
        <w:rPr>
          <w:rFonts w:ascii="Times New Roman" w:hAnsi="Times New Roman" w:cs="Times New Roman"/>
          <w:sz w:val="24"/>
          <w:szCs w:val="24"/>
        </w:rPr>
      </w:pPr>
      <w:r w:rsidRPr="003A407F">
        <w:rPr>
          <w:rFonts w:ascii="Times New Roman" w:hAnsi="Times New Roman" w:cs="Times New Roman"/>
          <w:sz w:val="24"/>
          <w:szCs w:val="24"/>
        </w:rPr>
        <w:t xml:space="preserve">L’uso degli </w:t>
      </w:r>
      <w:r>
        <w:rPr>
          <w:rFonts w:ascii="Times New Roman" w:hAnsi="Times New Roman" w:cs="Times New Roman"/>
          <w:sz w:val="24"/>
          <w:szCs w:val="24"/>
        </w:rPr>
        <w:t xml:space="preserve">oppiacei </w:t>
      </w:r>
      <w:r w:rsidRPr="003A407F">
        <w:rPr>
          <w:rFonts w:ascii="Times New Roman" w:hAnsi="Times New Roman" w:cs="Times New Roman"/>
          <w:sz w:val="24"/>
          <w:szCs w:val="24"/>
        </w:rPr>
        <w:t xml:space="preserve">nella gestione del dolore associato alla malattia neoplastica avanzata è ampiamente condiviso e accettato a livello internazionale. Da un punto di vista clinico, </w:t>
      </w:r>
      <w:r w:rsidRPr="009C1773">
        <w:rPr>
          <w:rFonts w:ascii="Times New Roman" w:hAnsi="Times New Roman" w:cs="Times New Roman"/>
          <w:b/>
          <w:sz w:val="24"/>
          <w:szCs w:val="24"/>
        </w:rPr>
        <w:t>raramente l’uso degli oppiacei interferisce in modo negativo con la gestione dei pazienti oncologici</w:t>
      </w:r>
      <w:r w:rsidRPr="003A407F">
        <w:rPr>
          <w:rFonts w:ascii="Times New Roman" w:hAnsi="Times New Roman" w:cs="Times New Roman"/>
          <w:sz w:val="24"/>
          <w:szCs w:val="24"/>
        </w:rPr>
        <w:t xml:space="preserve"> nel loro complesso. </w:t>
      </w:r>
      <w:r>
        <w:rPr>
          <w:rFonts w:ascii="Times New Roman" w:hAnsi="Times New Roman" w:cs="Times New Roman"/>
          <w:sz w:val="24"/>
          <w:szCs w:val="24"/>
        </w:rPr>
        <w:t>Mentre</w:t>
      </w:r>
      <w:r w:rsidRPr="003A407F">
        <w:rPr>
          <w:rFonts w:ascii="Times New Roman" w:hAnsi="Times New Roman" w:cs="Times New Roman"/>
          <w:sz w:val="24"/>
          <w:szCs w:val="24"/>
        </w:rPr>
        <w:t xml:space="preserve"> l’uso degli oppioidi nel dolore cronico non oncologico è ancor</w:t>
      </w:r>
      <w:r w:rsidR="009C1773">
        <w:rPr>
          <w:rFonts w:ascii="Times New Roman" w:hAnsi="Times New Roman" w:cs="Times New Roman"/>
          <w:sz w:val="24"/>
          <w:szCs w:val="24"/>
        </w:rPr>
        <w:t>a</w:t>
      </w:r>
      <w:r w:rsidRPr="003A407F">
        <w:rPr>
          <w:rFonts w:ascii="Times New Roman" w:hAnsi="Times New Roman" w:cs="Times New Roman"/>
          <w:sz w:val="24"/>
          <w:szCs w:val="24"/>
        </w:rPr>
        <w:t xml:space="preserve"> oggi oggetto di discussione.</w:t>
      </w:r>
      <w:r>
        <w:rPr>
          <w:rFonts w:ascii="Times New Roman" w:hAnsi="Times New Roman" w:cs="Times New Roman"/>
          <w:sz w:val="24"/>
          <w:szCs w:val="24"/>
        </w:rPr>
        <w:t xml:space="preserve"> So</w:t>
      </w:r>
      <w:r w:rsidR="007663DF">
        <w:rPr>
          <w:rFonts w:ascii="Times New Roman" w:hAnsi="Times New Roman" w:cs="Times New Roman"/>
          <w:sz w:val="24"/>
          <w:szCs w:val="24"/>
        </w:rPr>
        <w:t>ltanto</w:t>
      </w:r>
      <w:r>
        <w:rPr>
          <w:rFonts w:ascii="Times New Roman" w:hAnsi="Times New Roman" w:cs="Times New Roman"/>
          <w:sz w:val="24"/>
          <w:szCs w:val="24"/>
        </w:rPr>
        <w:t xml:space="preserve"> inquadrando il ricorso all’utilizzo non medico degli oppiacei è possibile </w:t>
      </w:r>
      <w:r w:rsidR="007663DF">
        <w:rPr>
          <w:rFonts w:ascii="Times New Roman" w:hAnsi="Times New Roman" w:cs="Times New Roman"/>
          <w:sz w:val="24"/>
          <w:szCs w:val="24"/>
        </w:rPr>
        <w:t xml:space="preserve">rendere compiutamente conto </w:t>
      </w:r>
      <w:r w:rsidR="009C1773">
        <w:rPr>
          <w:rFonts w:ascii="Times New Roman" w:hAnsi="Times New Roman" w:cs="Times New Roman"/>
          <w:sz w:val="24"/>
          <w:szCs w:val="24"/>
        </w:rPr>
        <w:t xml:space="preserve">di </w:t>
      </w:r>
      <w:r w:rsidR="007663DF">
        <w:rPr>
          <w:rFonts w:ascii="Times New Roman" w:hAnsi="Times New Roman" w:cs="Times New Roman"/>
          <w:sz w:val="24"/>
          <w:szCs w:val="24"/>
        </w:rPr>
        <w:t>quanto</w:t>
      </w:r>
      <w:r w:rsidR="00073150" w:rsidRPr="00073150">
        <w:rPr>
          <w:rFonts w:ascii="Times New Roman" w:hAnsi="Times New Roman" w:cs="Times New Roman"/>
          <w:sz w:val="24"/>
          <w:szCs w:val="24"/>
        </w:rPr>
        <w:t xml:space="preserve"> la dipendenza e le morti da overdose riguardino il paziente con dolore cronico appropriatamente diagnosticato, e non piuttosto una fascia di soggetti che hanno sfruttato la facile </w:t>
      </w:r>
      <w:r w:rsidR="00073150" w:rsidRPr="009C1773">
        <w:rPr>
          <w:rFonts w:ascii="Times New Roman" w:hAnsi="Times New Roman" w:cs="Times New Roman"/>
          <w:b/>
          <w:sz w:val="24"/>
          <w:szCs w:val="24"/>
        </w:rPr>
        <w:t>prescrizione e dispensazione di oppi</w:t>
      </w:r>
      <w:r w:rsidR="007663DF" w:rsidRPr="009C1773">
        <w:rPr>
          <w:rFonts w:ascii="Times New Roman" w:hAnsi="Times New Roman" w:cs="Times New Roman"/>
          <w:b/>
          <w:sz w:val="24"/>
          <w:szCs w:val="24"/>
        </w:rPr>
        <w:t>acei</w:t>
      </w:r>
      <w:r w:rsidR="00073150" w:rsidRPr="009C1773">
        <w:rPr>
          <w:rFonts w:ascii="Times New Roman" w:hAnsi="Times New Roman" w:cs="Times New Roman"/>
          <w:b/>
          <w:sz w:val="24"/>
          <w:szCs w:val="24"/>
        </w:rPr>
        <w:t>, a scopo ricreazionale</w:t>
      </w:r>
      <w:r w:rsidR="00073150" w:rsidRPr="000731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A6C3A1" w14:textId="70DE4936" w:rsidR="00073150" w:rsidRDefault="00073150" w:rsidP="00073150">
      <w:pPr>
        <w:jc w:val="both"/>
        <w:rPr>
          <w:rFonts w:ascii="Times New Roman" w:hAnsi="Times New Roman" w:cs="Times New Roman"/>
          <w:sz w:val="24"/>
          <w:szCs w:val="24"/>
        </w:rPr>
      </w:pPr>
      <w:r w:rsidRPr="00073150">
        <w:rPr>
          <w:rFonts w:ascii="Times New Roman" w:hAnsi="Times New Roman" w:cs="Times New Roman"/>
          <w:sz w:val="24"/>
          <w:szCs w:val="24"/>
        </w:rPr>
        <w:t>A tale proposit</w:t>
      </w:r>
      <w:r w:rsidR="007663DF">
        <w:rPr>
          <w:rFonts w:ascii="Times New Roman" w:hAnsi="Times New Roman" w:cs="Times New Roman"/>
          <w:sz w:val="24"/>
          <w:szCs w:val="24"/>
        </w:rPr>
        <w:t xml:space="preserve">o – specificano i coordinatori del documento Patrizia </w:t>
      </w:r>
      <w:proofErr w:type="spellStart"/>
      <w:r w:rsidR="007663DF">
        <w:rPr>
          <w:rFonts w:ascii="Times New Roman" w:hAnsi="Times New Roman" w:cs="Times New Roman"/>
          <w:sz w:val="24"/>
          <w:szCs w:val="24"/>
        </w:rPr>
        <w:t>Romualdi</w:t>
      </w:r>
      <w:proofErr w:type="spellEnd"/>
      <w:r w:rsidR="007663DF">
        <w:rPr>
          <w:rFonts w:ascii="Times New Roman" w:hAnsi="Times New Roman" w:cs="Times New Roman"/>
          <w:sz w:val="24"/>
          <w:szCs w:val="24"/>
        </w:rPr>
        <w:t xml:space="preserve"> (Università di Bologna), Alessandro </w:t>
      </w:r>
      <w:proofErr w:type="spellStart"/>
      <w:r w:rsidR="007663DF">
        <w:rPr>
          <w:rFonts w:ascii="Times New Roman" w:hAnsi="Times New Roman" w:cs="Times New Roman"/>
          <w:sz w:val="24"/>
          <w:szCs w:val="24"/>
        </w:rPr>
        <w:t>Mugelli</w:t>
      </w:r>
      <w:proofErr w:type="spellEnd"/>
      <w:r w:rsidR="007663DF">
        <w:rPr>
          <w:rFonts w:ascii="Times New Roman" w:hAnsi="Times New Roman" w:cs="Times New Roman"/>
          <w:sz w:val="24"/>
          <w:szCs w:val="24"/>
        </w:rPr>
        <w:t xml:space="preserve"> (Università di Firenze)</w:t>
      </w:r>
      <w:r w:rsidRPr="00073150">
        <w:rPr>
          <w:rFonts w:ascii="Times New Roman" w:hAnsi="Times New Roman" w:cs="Times New Roman"/>
          <w:sz w:val="24"/>
          <w:szCs w:val="24"/>
        </w:rPr>
        <w:t xml:space="preserve"> </w:t>
      </w:r>
      <w:r w:rsidR="007663DF">
        <w:rPr>
          <w:rFonts w:ascii="Times New Roman" w:hAnsi="Times New Roman" w:cs="Times New Roman"/>
          <w:sz w:val="24"/>
          <w:szCs w:val="24"/>
        </w:rPr>
        <w:t xml:space="preserve">e Guido </w:t>
      </w:r>
      <w:proofErr w:type="spellStart"/>
      <w:r w:rsidR="007663DF">
        <w:rPr>
          <w:rFonts w:ascii="Times New Roman" w:hAnsi="Times New Roman" w:cs="Times New Roman"/>
          <w:sz w:val="24"/>
          <w:szCs w:val="24"/>
        </w:rPr>
        <w:t>Mannaioni</w:t>
      </w:r>
      <w:proofErr w:type="spellEnd"/>
      <w:r w:rsidR="007663DF">
        <w:rPr>
          <w:rFonts w:ascii="Times New Roman" w:hAnsi="Times New Roman" w:cs="Times New Roman"/>
          <w:sz w:val="24"/>
          <w:szCs w:val="24"/>
        </w:rPr>
        <w:t xml:space="preserve"> (Università di Firenze) – </w:t>
      </w:r>
      <w:r w:rsidRPr="00073150">
        <w:rPr>
          <w:rFonts w:ascii="Times New Roman" w:hAnsi="Times New Roman" w:cs="Times New Roman"/>
          <w:sz w:val="24"/>
          <w:szCs w:val="24"/>
        </w:rPr>
        <w:t xml:space="preserve">è opportuno ricordare che </w:t>
      </w:r>
      <w:r w:rsidRPr="009C1773">
        <w:rPr>
          <w:rFonts w:ascii="Times New Roman" w:hAnsi="Times New Roman" w:cs="Times New Roman"/>
          <w:b/>
          <w:sz w:val="24"/>
          <w:szCs w:val="24"/>
        </w:rPr>
        <w:t>nel 2014 più di 10 milioni di americani hanno dichiarato di aver</w:t>
      </w:r>
      <w:r w:rsidR="009C1773" w:rsidRPr="009C1773">
        <w:rPr>
          <w:rFonts w:ascii="Times New Roman" w:hAnsi="Times New Roman" w:cs="Times New Roman"/>
          <w:b/>
          <w:sz w:val="24"/>
          <w:szCs w:val="24"/>
        </w:rPr>
        <w:t>e</w:t>
      </w:r>
      <w:r w:rsidRPr="009C1773">
        <w:rPr>
          <w:rFonts w:ascii="Times New Roman" w:hAnsi="Times New Roman" w:cs="Times New Roman"/>
          <w:b/>
          <w:sz w:val="24"/>
          <w:szCs w:val="24"/>
        </w:rPr>
        <w:t xml:space="preserve"> fatto uso illecito di oppi</w:t>
      </w:r>
      <w:r w:rsidR="007663DF" w:rsidRPr="009C1773">
        <w:rPr>
          <w:rFonts w:ascii="Times New Roman" w:hAnsi="Times New Roman" w:cs="Times New Roman"/>
          <w:b/>
          <w:sz w:val="24"/>
          <w:szCs w:val="24"/>
        </w:rPr>
        <w:t>acei</w:t>
      </w:r>
      <w:r w:rsidRPr="009C1773">
        <w:rPr>
          <w:rFonts w:ascii="Times New Roman" w:hAnsi="Times New Roman" w:cs="Times New Roman"/>
          <w:b/>
          <w:sz w:val="24"/>
          <w:szCs w:val="24"/>
        </w:rPr>
        <w:t xml:space="preserve"> da prescrizione</w:t>
      </w:r>
      <w:r w:rsidRPr="00073150">
        <w:rPr>
          <w:rFonts w:ascii="Times New Roman" w:hAnsi="Times New Roman" w:cs="Times New Roman"/>
          <w:sz w:val="24"/>
          <w:szCs w:val="24"/>
        </w:rPr>
        <w:t>. Inoltre, è interessante sottolineare che se il numero di soggetti che annualmente passano dall’assunzione di oppi</w:t>
      </w:r>
      <w:r w:rsidR="007663DF">
        <w:rPr>
          <w:rFonts w:ascii="Times New Roman" w:hAnsi="Times New Roman" w:cs="Times New Roman"/>
          <w:sz w:val="24"/>
          <w:szCs w:val="24"/>
        </w:rPr>
        <w:t>acei</w:t>
      </w:r>
      <w:r w:rsidRPr="00073150">
        <w:rPr>
          <w:rFonts w:ascii="Times New Roman" w:hAnsi="Times New Roman" w:cs="Times New Roman"/>
          <w:sz w:val="24"/>
          <w:szCs w:val="24"/>
        </w:rPr>
        <w:t xml:space="preserve"> da prescrizione all’eroina sia basso, </w:t>
      </w:r>
      <w:r w:rsidRPr="009C1773">
        <w:rPr>
          <w:rFonts w:ascii="Times New Roman" w:hAnsi="Times New Roman" w:cs="Times New Roman"/>
          <w:b/>
          <w:sz w:val="24"/>
          <w:szCs w:val="24"/>
        </w:rPr>
        <w:t xml:space="preserve">l’80% di 125.000 consumatori abituali di eroina ha dichiarato di avere iniziato con l’uso di </w:t>
      </w:r>
      <w:r w:rsidR="007663DF" w:rsidRPr="009C1773">
        <w:rPr>
          <w:rFonts w:ascii="Times New Roman" w:hAnsi="Times New Roman" w:cs="Times New Roman"/>
          <w:b/>
          <w:sz w:val="24"/>
          <w:szCs w:val="24"/>
        </w:rPr>
        <w:t>oppiacei</w:t>
      </w:r>
      <w:r w:rsidRPr="009C1773">
        <w:rPr>
          <w:rFonts w:ascii="Times New Roman" w:hAnsi="Times New Roman" w:cs="Times New Roman"/>
          <w:b/>
          <w:sz w:val="24"/>
          <w:szCs w:val="24"/>
        </w:rPr>
        <w:t xml:space="preserve"> da prescrizione</w:t>
      </w:r>
      <w:r w:rsidRPr="00073150">
        <w:rPr>
          <w:rFonts w:ascii="Times New Roman" w:hAnsi="Times New Roman" w:cs="Times New Roman"/>
          <w:sz w:val="24"/>
          <w:szCs w:val="24"/>
        </w:rPr>
        <w:t xml:space="preserve">. </w:t>
      </w:r>
      <w:r w:rsidR="007663DF">
        <w:rPr>
          <w:rFonts w:ascii="Times New Roman" w:hAnsi="Times New Roman" w:cs="Times New Roman"/>
          <w:sz w:val="24"/>
          <w:szCs w:val="24"/>
        </w:rPr>
        <w:t>È</w:t>
      </w:r>
      <w:r w:rsidRPr="00073150">
        <w:rPr>
          <w:rFonts w:ascii="Times New Roman" w:hAnsi="Times New Roman" w:cs="Times New Roman"/>
          <w:sz w:val="24"/>
          <w:szCs w:val="24"/>
        </w:rPr>
        <w:t xml:space="preserve"> quindi probabile che l’epidemia di morti da overdose e i fenomeni di dipendenza e abuso siano principalmente correlati all’uso non-medico degli oppi</w:t>
      </w:r>
      <w:r w:rsidR="009C1773">
        <w:rPr>
          <w:rFonts w:ascii="Times New Roman" w:hAnsi="Times New Roman" w:cs="Times New Roman"/>
          <w:sz w:val="24"/>
          <w:szCs w:val="24"/>
        </w:rPr>
        <w:t>acei</w:t>
      </w:r>
      <w:r w:rsidRPr="00073150">
        <w:rPr>
          <w:rFonts w:ascii="Times New Roman" w:hAnsi="Times New Roman" w:cs="Times New Roman"/>
          <w:sz w:val="24"/>
          <w:szCs w:val="24"/>
        </w:rPr>
        <w:t xml:space="preserve">, mentre il reale </w:t>
      </w:r>
      <w:r w:rsidRPr="00073150">
        <w:rPr>
          <w:rFonts w:ascii="Times New Roman" w:hAnsi="Times New Roman" w:cs="Times New Roman"/>
          <w:sz w:val="24"/>
          <w:szCs w:val="24"/>
        </w:rPr>
        <w:lastRenderedPageBreak/>
        <w:t>rischio nel paziente con dolore cronico rimane chiaramente da definire</w:t>
      </w:r>
      <w:r w:rsidR="006E43F3">
        <w:rPr>
          <w:rFonts w:ascii="Times New Roman" w:hAnsi="Times New Roman" w:cs="Times New Roman"/>
          <w:sz w:val="24"/>
          <w:szCs w:val="24"/>
        </w:rPr>
        <w:t xml:space="preserve"> e i dati preclinici non lo supportano.</w:t>
      </w:r>
    </w:p>
    <w:p w14:paraId="66B9F52B" w14:textId="22B2DD8B" w:rsidR="007663DF" w:rsidRDefault="007663DF" w:rsidP="007A3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3DF">
        <w:rPr>
          <w:rFonts w:ascii="Times New Roman" w:hAnsi="Times New Roman" w:cs="Times New Roman"/>
          <w:sz w:val="24"/>
          <w:szCs w:val="24"/>
        </w:rPr>
        <w:t xml:space="preserve">Benché l’utilizzo di analgesici </w:t>
      </w:r>
      <w:r>
        <w:rPr>
          <w:rFonts w:ascii="Times New Roman" w:hAnsi="Times New Roman" w:cs="Times New Roman"/>
          <w:sz w:val="24"/>
          <w:szCs w:val="24"/>
        </w:rPr>
        <w:t>oppiacei</w:t>
      </w:r>
      <w:r w:rsidRPr="007663DF">
        <w:rPr>
          <w:rFonts w:ascii="Times New Roman" w:hAnsi="Times New Roman" w:cs="Times New Roman"/>
          <w:sz w:val="24"/>
          <w:szCs w:val="24"/>
        </w:rPr>
        <w:t xml:space="preserve"> in Italia sia di gran lunga inferiore al Nord Europa e agli USA, grande attenzione deve essere posta nell’evitare il rischio di abuso, pur garantendo a tutti i pazienti con dolore il diritto all’accesso alle cure come previsto dalla legge 38/2010.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E22">
        <w:rPr>
          <w:rFonts w:ascii="Times New Roman" w:hAnsi="Times New Roman" w:cs="Times New Roman"/>
          <w:sz w:val="24"/>
          <w:szCs w:val="24"/>
        </w:rPr>
        <w:t xml:space="preserve">La pubblicazione </w:t>
      </w:r>
      <w:r w:rsidR="009C1773">
        <w:rPr>
          <w:rFonts w:ascii="Times New Roman" w:hAnsi="Times New Roman" w:cs="Times New Roman"/>
          <w:sz w:val="24"/>
          <w:szCs w:val="24"/>
        </w:rPr>
        <w:t xml:space="preserve">del </w:t>
      </w:r>
      <w:r w:rsidR="00105E22" w:rsidRPr="00105E22">
        <w:rPr>
          <w:rFonts w:ascii="Times New Roman" w:hAnsi="Times New Roman" w:cs="Times New Roman"/>
          <w:sz w:val="24"/>
          <w:szCs w:val="24"/>
        </w:rPr>
        <w:t xml:space="preserve">Position </w:t>
      </w:r>
      <w:proofErr w:type="spellStart"/>
      <w:r w:rsidR="00105E22" w:rsidRPr="00105E22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105E22" w:rsidRPr="00105E22">
        <w:rPr>
          <w:rFonts w:ascii="Times New Roman" w:hAnsi="Times New Roman" w:cs="Times New Roman"/>
          <w:sz w:val="24"/>
          <w:szCs w:val="24"/>
        </w:rPr>
        <w:t xml:space="preserve"> «Trattamen</w:t>
      </w:r>
      <w:r w:rsidR="00F131C1">
        <w:rPr>
          <w:rFonts w:ascii="Times New Roman" w:hAnsi="Times New Roman" w:cs="Times New Roman"/>
          <w:sz w:val="24"/>
          <w:szCs w:val="24"/>
        </w:rPr>
        <w:t>to del dolore cronico in Italia. A</w:t>
      </w:r>
      <w:r w:rsidR="00105E22" w:rsidRPr="00105E22">
        <w:rPr>
          <w:rFonts w:ascii="Times New Roman" w:hAnsi="Times New Roman" w:cs="Times New Roman"/>
          <w:sz w:val="24"/>
          <w:szCs w:val="24"/>
        </w:rPr>
        <w:t xml:space="preserve">ppropriatezza terapeutica con oppiacei e timore di </w:t>
      </w:r>
      <w:proofErr w:type="spellStart"/>
      <w:r w:rsidR="00105E22" w:rsidRPr="00105E22">
        <w:rPr>
          <w:rFonts w:ascii="Times New Roman" w:hAnsi="Times New Roman" w:cs="Times New Roman"/>
          <w:sz w:val="24"/>
          <w:szCs w:val="24"/>
        </w:rPr>
        <w:t>addiction</w:t>
      </w:r>
      <w:proofErr w:type="spellEnd"/>
      <w:r w:rsidR="00105E22" w:rsidRPr="00105E22">
        <w:rPr>
          <w:rFonts w:ascii="Times New Roman" w:hAnsi="Times New Roman" w:cs="Times New Roman"/>
          <w:sz w:val="24"/>
          <w:szCs w:val="24"/>
        </w:rPr>
        <w:t>: situazione italiana vs USA»</w:t>
      </w:r>
      <w:r w:rsidR="00105E22">
        <w:rPr>
          <w:rFonts w:ascii="Times New Roman" w:hAnsi="Times New Roman" w:cs="Times New Roman"/>
          <w:sz w:val="24"/>
          <w:szCs w:val="24"/>
        </w:rPr>
        <w:t xml:space="preserve"> è una iniziativa</w:t>
      </w:r>
      <w:r w:rsidRPr="007663DF">
        <w:rPr>
          <w:rFonts w:ascii="Times New Roman" w:hAnsi="Times New Roman" w:cs="Times New Roman"/>
          <w:sz w:val="24"/>
          <w:szCs w:val="24"/>
        </w:rPr>
        <w:t xml:space="preserve"> volta ad affrontare il problema e si spera che possa prevedere nel prossimo futuro il coinvolgimento di altre importanti Società Scientifiche nazionali e internazionali per adottare una linea comune e prevenire l’insorgenza di questo temibile fenomeno </w:t>
      </w:r>
      <w:r w:rsidRPr="009C1773">
        <w:rPr>
          <w:rFonts w:ascii="Times New Roman" w:hAnsi="Times New Roman" w:cs="Times New Roman"/>
          <w:b/>
          <w:sz w:val="24"/>
          <w:szCs w:val="24"/>
        </w:rPr>
        <w:t>senza tuttavia “demonizzare” i farmaci oppi</w:t>
      </w:r>
      <w:r w:rsidR="00105E22" w:rsidRPr="009C1773">
        <w:rPr>
          <w:rFonts w:ascii="Times New Roman" w:hAnsi="Times New Roman" w:cs="Times New Roman"/>
          <w:b/>
          <w:sz w:val="24"/>
          <w:szCs w:val="24"/>
        </w:rPr>
        <w:t>acei</w:t>
      </w:r>
      <w:r w:rsidRPr="007663DF">
        <w:rPr>
          <w:rFonts w:ascii="Times New Roman" w:hAnsi="Times New Roman" w:cs="Times New Roman"/>
          <w:sz w:val="24"/>
          <w:szCs w:val="24"/>
        </w:rPr>
        <w:t xml:space="preserve"> che a tutt’oggi rappresentano il cardine della terapia analgesica.</w:t>
      </w:r>
    </w:p>
    <w:sectPr w:rsidR="007663DF" w:rsidSect="00592CE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41948" w14:textId="77777777" w:rsidR="00E46F1E" w:rsidRDefault="00E46F1E" w:rsidP="000B3FBF">
      <w:pPr>
        <w:spacing w:after="0" w:line="240" w:lineRule="auto"/>
      </w:pPr>
      <w:r>
        <w:separator/>
      </w:r>
    </w:p>
  </w:endnote>
  <w:endnote w:type="continuationSeparator" w:id="0">
    <w:p w14:paraId="19E338AF" w14:textId="77777777" w:rsidR="00E46F1E" w:rsidRDefault="00E46F1E" w:rsidP="000B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18EC8" w14:textId="77777777" w:rsidR="00074333" w:rsidRPr="00074333" w:rsidRDefault="00074333" w:rsidP="00074333">
    <w:pPr>
      <w:pStyle w:val="Pidipagina"/>
      <w:rPr>
        <w:rFonts w:ascii="Times New Roman" w:hAnsi="Times New Roman" w:cs="Times New Roman"/>
      </w:rPr>
    </w:pPr>
    <w:r w:rsidRPr="00074333">
      <w:rPr>
        <w:rFonts w:ascii="Times New Roman" w:hAnsi="Times New Roman" w:cs="Times New Roman"/>
      </w:rPr>
      <w:t>Area Comunicazione Società Italiana di Farmacologia (SIF)</w:t>
    </w:r>
  </w:p>
  <w:p w14:paraId="6FCF7861" w14:textId="41C402C7" w:rsidR="00074333" w:rsidRPr="00074333" w:rsidRDefault="00074333" w:rsidP="00074333">
    <w:pPr>
      <w:pStyle w:val="Pidipagin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Dr.</w:t>
    </w:r>
    <w:r w:rsidRPr="00074333">
      <w:rPr>
        <w:rFonts w:ascii="Times New Roman" w:hAnsi="Times New Roman" w:cs="Times New Roman"/>
      </w:rPr>
      <w:t xml:space="preserve"> Marco Pivato, 349 5297270</w:t>
    </w:r>
  </w:p>
  <w:p w14:paraId="29201DCF" w14:textId="054A0678" w:rsidR="00074333" w:rsidRPr="00074333" w:rsidRDefault="00074333" w:rsidP="00074333">
    <w:pPr>
      <w:pStyle w:val="Pidipagina"/>
      <w:rPr>
        <w:rFonts w:ascii="Times New Roman" w:hAnsi="Times New Roman" w:cs="Times New Roman"/>
      </w:rPr>
    </w:pPr>
    <w:r w:rsidRPr="00074333">
      <w:rPr>
        <w:rFonts w:ascii="Times New Roman" w:hAnsi="Times New Roman" w:cs="Times New Roman"/>
      </w:rPr>
      <w:t>ufficiostampa@sif-farmacologia.it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695FC" w14:textId="77777777" w:rsidR="00E46F1E" w:rsidRDefault="00E46F1E" w:rsidP="000B3FBF">
      <w:pPr>
        <w:spacing w:after="0" w:line="240" w:lineRule="auto"/>
      </w:pPr>
      <w:r>
        <w:separator/>
      </w:r>
    </w:p>
  </w:footnote>
  <w:footnote w:type="continuationSeparator" w:id="0">
    <w:p w14:paraId="6F69A224" w14:textId="77777777" w:rsidR="00E46F1E" w:rsidRDefault="00E46F1E" w:rsidP="000B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41347" w14:textId="4B3258E4" w:rsidR="000B3FBF" w:rsidRDefault="000B3FBF" w:rsidP="007A326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B1894D4" wp14:editId="3BDA927B">
          <wp:extent cx="2779776" cy="131216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F - Ritag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4656" cy="1333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4599D" w14:textId="77777777" w:rsidR="000B3FBF" w:rsidRDefault="000B3F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75"/>
    <w:rsid w:val="00004D57"/>
    <w:rsid w:val="000078B2"/>
    <w:rsid w:val="00007F2A"/>
    <w:rsid w:val="00013718"/>
    <w:rsid w:val="00017C04"/>
    <w:rsid w:val="00032B58"/>
    <w:rsid w:val="00055DC5"/>
    <w:rsid w:val="00073150"/>
    <w:rsid w:val="00074333"/>
    <w:rsid w:val="0007449D"/>
    <w:rsid w:val="0009215C"/>
    <w:rsid w:val="0009620E"/>
    <w:rsid w:val="000B3FBF"/>
    <w:rsid w:val="000D75DC"/>
    <w:rsid w:val="000F1779"/>
    <w:rsid w:val="00105E22"/>
    <w:rsid w:val="00111585"/>
    <w:rsid w:val="00152958"/>
    <w:rsid w:val="001722BF"/>
    <w:rsid w:val="00181B92"/>
    <w:rsid w:val="00197C35"/>
    <w:rsid w:val="001C35D5"/>
    <w:rsid w:val="001E228B"/>
    <w:rsid w:val="00205ADB"/>
    <w:rsid w:val="00211E21"/>
    <w:rsid w:val="0023019F"/>
    <w:rsid w:val="00236707"/>
    <w:rsid w:val="00271FEA"/>
    <w:rsid w:val="002A43DA"/>
    <w:rsid w:val="002B6434"/>
    <w:rsid w:val="003360B8"/>
    <w:rsid w:val="003559DD"/>
    <w:rsid w:val="00361FF3"/>
    <w:rsid w:val="0037183E"/>
    <w:rsid w:val="00383549"/>
    <w:rsid w:val="003A240C"/>
    <w:rsid w:val="003A407F"/>
    <w:rsid w:val="003E2236"/>
    <w:rsid w:val="003F141E"/>
    <w:rsid w:val="0040214C"/>
    <w:rsid w:val="00420134"/>
    <w:rsid w:val="004228CE"/>
    <w:rsid w:val="004A51CC"/>
    <w:rsid w:val="00516D19"/>
    <w:rsid w:val="00535F97"/>
    <w:rsid w:val="00570273"/>
    <w:rsid w:val="00592CE5"/>
    <w:rsid w:val="00597396"/>
    <w:rsid w:val="005A5DDF"/>
    <w:rsid w:val="005B2D51"/>
    <w:rsid w:val="005B73AD"/>
    <w:rsid w:val="005D6C8C"/>
    <w:rsid w:val="006402F0"/>
    <w:rsid w:val="00692BF4"/>
    <w:rsid w:val="006C0602"/>
    <w:rsid w:val="006C3337"/>
    <w:rsid w:val="006E2008"/>
    <w:rsid w:val="006E43F3"/>
    <w:rsid w:val="006E4FD3"/>
    <w:rsid w:val="00700B2C"/>
    <w:rsid w:val="00736A5B"/>
    <w:rsid w:val="00744FD4"/>
    <w:rsid w:val="00750B6D"/>
    <w:rsid w:val="007663DF"/>
    <w:rsid w:val="007A3261"/>
    <w:rsid w:val="007B6599"/>
    <w:rsid w:val="007C04D3"/>
    <w:rsid w:val="007C3183"/>
    <w:rsid w:val="007E4023"/>
    <w:rsid w:val="007E6228"/>
    <w:rsid w:val="00807C51"/>
    <w:rsid w:val="00840FE2"/>
    <w:rsid w:val="00864003"/>
    <w:rsid w:val="00892D7F"/>
    <w:rsid w:val="008A007A"/>
    <w:rsid w:val="008D608E"/>
    <w:rsid w:val="008E1786"/>
    <w:rsid w:val="00910AC9"/>
    <w:rsid w:val="00940302"/>
    <w:rsid w:val="00947DA6"/>
    <w:rsid w:val="0096700A"/>
    <w:rsid w:val="0097513E"/>
    <w:rsid w:val="009C1773"/>
    <w:rsid w:val="009C2202"/>
    <w:rsid w:val="009F6D2C"/>
    <w:rsid w:val="00A05B4D"/>
    <w:rsid w:val="00A12876"/>
    <w:rsid w:val="00A24C40"/>
    <w:rsid w:val="00A2797E"/>
    <w:rsid w:val="00A523EC"/>
    <w:rsid w:val="00A60097"/>
    <w:rsid w:val="00A765C8"/>
    <w:rsid w:val="00AF5B1B"/>
    <w:rsid w:val="00B153F5"/>
    <w:rsid w:val="00B37F25"/>
    <w:rsid w:val="00B465E4"/>
    <w:rsid w:val="00BD470E"/>
    <w:rsid w:val="00C029A1"/>
    <w:rsid w:val="00CA0471"/>
    <w:rsid w:val="00CA35AC"/>
    <w:rsid w:val="00CA59E3"/>
    <w:rsid w:val="00CB52D5"/>
    <w:rsid w:val="00CB787E"/>
    <w:rsid w:val="00CC2A50"/>
    <w:rsid w:val="00CD2894"/>
    <w:rsid w:val="00D55B8C"/>
    <w:rsid w:val="00D67821"/>
    <w:rsid w:val="00D709D9"/>
    <w:rsid w:val="00D72670"/>
    <w:rsid w:val="00D94853"/>
    <w:rsid w:val="00D9645D"/>
    <w:rsid w:val="00DB67E2"/>
    <w:rsid w:val="00DF2F64"/>
    <w:rsid w:val="00E20AD3"/>
    <w:rsid w:val="00E3581A"/>
    <w:rsid w:val="00E46F1E"/>
    <w:rsid w:val="00E95B75"/>
    <w:rsid w:val="00E95B81"/>
    <w:rsid w:val="00EA2ED3"/>
    <w:rsid w:val="00EA4B86"/>
    <w:rsid w:val="00F131C1"/>
    <w:rsid w:val="00F13788"/>
    <w:rsid w:val="00F16A55"/>
    <w:rsid w:val="00F20297"/>
    <w:rsid w:val="00F8704F"/>
    <w:rsid w:val="00F8756F"/>
    <w:rsid w:val="00F93B5A"/>
    <w:rsid w:val="00FA2576"/>
    <w:rsid w:val="00FA748C"/>
    <w:rsid w:val="00FE4331"/>
    <w:rsid w:val="00FF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95A5"/>
  <w15:docId w15:val="{8C596BD1-F4F0-491B-A355-3769E54B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2C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013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0134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28CE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B3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FBF"/>
  </w:style>
  <w:style w:type="paragraph" w:styleId="Pidipagina">
    <w:name w:val="footer"/>
    <w:basedOn w:val="Normale"/>
    <w:link w:val="PidipaginaCarattere"/>
    <w:uiPriority w:val="99"/>
    <w:unhideWhenUsed/>
    <w:rsid w:val="000B3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F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C4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92B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2B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2BF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2B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2BF4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326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326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3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88B2-566E-488B-A0EF-26A0787B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Pivato</dc:creator>
  <cp:lastModifiedBy>Marco Pivato</cp:lastModifiedBy>
  <cp:revision>7</cp:revision>
  <dcterms:created xsi:type="dcterms:W3CDTF">2018-04-17T11:46:00Z</dcterms:created>
  <dcterms:modified xsi:type="dcterms:W3CDTF">2018-04-17T13:30:00Z</dcterms:modified>
</cp:coreProperties>
</file>