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E36F" w14:textId="39A09A9C" w:rsidR="00732AAC" w:rsidRDefault="006D0F7B" w:rsidP="00E35DEE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COVID-19, AIFA autorizza studio su eparina: tutto </w:t>
      </w:r>
      <w:r w:rsidR="00E00BEC"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quello </w:t>
      </w:r>
      <w:r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che c’è da sapere</w:t>
      </w:r>
      <w:r w:rsidR="00E00BEC"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sul farmaco</w:t>
      </w:r>
      <w:r w:rsidR="00E00BEC"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br/>
      </w:r>
      <w:r w:rsidRPr="00E00BEC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15815A8" w14:textId="276CABC3" w:rsidR="00E00BEC" w:rsidRPr="00A545D3" w:rsidRDefault="00E00BEC" w:rsidP="00A545D3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545D3">
        <w:rPr>
          <w:rFonts w:ascii="Times New Roman" w:hAnsi="Times New Roman" w:cs="Times New Roman"/>
          <w:i/>
          <w:iCs/>
          <w:sz w:val="24"/>
          <w:szCs w:val="24"/>
        </w:rPr>
        <w:t>Tromboembolie, coaguli e occlusioni tra i principali pericoli mortali nei pazienti colpiti dal virus: anticoagulanti come eparina potrebbero allora essere fondamentali nella cura della malattia e l’Agenzia Italia del Farmaco (AIFA) ha dato il via libera a uno studio clinico per capir</w:t>
      </w:r>
      <w:r w:rsidR="00A545D3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A545D3">
        <w:rPr>
          <w:rFonts w:ascii="Times New Roman" w:hAnsi="Times New Roman" w:cs="Times New Roman"/>
          <w:i/>
          <w:iCs/>
          <w:sz w:val="24"/>
          <w:szCs w:val="24"/>
        </w:rPr>
        <w:t>e meglio sicurezza e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efficacia. 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Ma come agisce eparina? Quali meccanismi hanno convinto gli esperti </w:t>
      </w:r>
      <w:r w:rsidR="00A545D3">
        <w:rPr>
          <w:rFonts w:ascii="Times New Roman" w:hAnsi="Times New Roman" w:cs="Times New Roman"/>
          <w:i/>
          <w:iCs/>
          <w:sz w:val="24"/>
          <w:szCs w:val="24"/>
        </w:rPr>
        <w:t>della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bontà del tentativo di sperimentarlo contro COVID-19? Nella scheda della Società Italiana di Farmacologia (SIF) tutto quello che c’è da sapere, e anche di più</w:t>
      </w:r>
      <w:r w:rsidR="002F7D4B" w:rsidRPr="00A545D3">
        <w:rPr>
          <w:rFonts w:ascii="Times New Roman" w:hAnsi="Times New Roman" w:cs="Times New Roman"/>
          <w:i/>
          <w:iCs/>
          <w:sz w:val="24"/>
          <w:szCs w:val="24"/>
        </w:rPr>
        <w:t>. E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parina </w:t>
      </w:r>
      <w:r w:rsidR="00A545D3">
        <w:rPr>
          <w:rFonts w:ascii="Times New Roman" w:hAnsi="Times New Roman" w:cs="Times New Roman"/>
          <w:i/>
          <w:iCs/>
          <w:sz w:val="24"/>
          <w:szCs w:val="24"/>
        </w:rPr>
        <w:t>avrebbe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F7D4B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infatti 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altri effetti benefici attraverso cui </w:t>
      </w:r>
      <w:r w:rsidR="002F7D4B" w:rsidRPr="00A545D3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A545D3">
        <w:rPr>
          <w:rFonts w:ascii="Times New Roman" w:hAnsi="Times New Roman" w:cs="Times New Roman"/>
          <w:i/>
          <w:iCs/>
          <w:sz w:val="24"/>
          <w:szCs w:val="24"/>
        </w:rPr>
        <w:t>uò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rivelarsi utile, </w:t>
      </w:r>
      <w:r w:rsidR="002F7D4B" w:rsidRPr="00A545D3">
        <w:rPr>
          <w:rFonts w:ascii="Times New Roman" w:hAnsi="Times New Roman" w:cs="Times New Roman"/>
          <w:i/>
          <w:iCs/>
          <w:sz w:val="24"/>
          <w:szCs w:val="24"/>
        </w:rPr>
        <w:t>oltre a</w:t>
      </w:r>
      <w:r w:rsidR="00A545D3">
        <w:rPr>
          <w:rFonts w:ascii="Times New Roman" w:hAnsi="Times New Roman" w:cs="Times New Roman"/>
          <w:i/>
          <w:iCs/>
          <w:sz w:val="24"/>
          <w:szCs w:val="24"/>
        </w:rPr>
        <w:t xml:space="preserve"> quello</w:t>
      </w:r>
      <w:r w:rsidR="002F7D4B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anticoagulante</w:t>
      </w:r>
      <w:r w:rsidR="00A545D3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>proprietà antinfiammatorie, l</w:t>
      </w:r>
      <w:r w:rsidR="00A545D3" w:rsidRPr="00A545D3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CF0601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 capacità di protezione endoteliale e una possibile attività antivirale</w:t>
      </w:r>
      <w:r w:rsidR="00A545D3" w:rsidRPr="00A545D3">
        <w:rPr>
          <w:rFonts w:ascii="Times New Roman" w:hAnsi="Times New Roman" w:cs="Times New Roman"/>
          <w:i/>
          <w:iCs/>
          <w:sz w:val="24"/>
          <w:szCs w:val="24"/>
        </w:rPr>
        <w:t xml:space="preserve">. E ancora: focus su </w:t>
      </w:r>
      <w:proofErr w:type="spellStart"/>
      <w:r w:rsidR="00A545D3" w:rsidRPr="00A545D3">
        <w:rPr>
          <w:rFonts w:ascii="Times New Roman" w:hAnsi="Times New Roman" w:cs="Times New Roman"/>
          <w:i/>
          <w:iCs/>
          <w:sz w:val="24"/>
          <w:szCs w:val="24"/>
        </w:rPr>
        <w:t>enoxaparina</w:t>
      </w:r>
      <w:proofErr w:type="spellEnd"/>
      <w:r w:rsidR="00A545D3" w:rsidRPr="00A545D3">
        <w:rPr>
          <w:rFonts w:ascii="Times New Roman" w:hAnsi="Times New Roman" w:cs="Times New Roman"/>
          <w:i/>
          <w:iCs/>
          <w:sz w:val="24"/>
          <w:szCs w:val="24"/>
        </w:rPr>
        <w:t>, “parente dell’eparina”, più vantaggiosa dal momento che induce una risposta anticoagulante più prevedibile che non richiede stretto monitoraggio.</w:t>
      </w:r>
    </w:p>
    <w:p w14:paraId="6CC80792" w14:textId="77777777" w:rsidR="00E00BEC" w:rsidRPr="00E00BEC" w:rsidRDefault="00E00BEC" w:rsidP="00E00BEC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14:paraId="425EADF8" w14:textId="12EF863D" w:rsidR="00E53787" w:rsidRDefault="007063DC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Milano, </w:t>
      </w:r>
      <w:r w:rsidR="00E53787">
        <w:rPr>
          <w:rFonts w:ascii="Times New Roman" w:hAnsi="Times New Roman" w:cs="Times New Roman"/>
          <w:sz w:val="24"/>
          <w:szCs w:val="24"/>
        </w:rPr>
        <w:t>15/04/2021</w:t>
      </w:r>
    </w:p>
    <w:p w14:paraId="53888098" w14:textId="20679F80" w:rsidR="00182D4F" w:rsidRDefault="008F6675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>La malattia d</w:t>
      </w:r>
      <w:r w:rsidR="00182D4F">
        <w:rPr>
          <w:rFonts w:ascii="Times New Roman" w:hAnsi="Times New Roman" w:cs="Times New Roman"/>
          <w:sz w:val="24"/>
          <w:szCs w:val="24"/>
        </w:rPr>
        <w:t>a</w:t>
      </w:r>
      <w:r w:rsidRPr="00182D4F">
        <w:rPr>
          <w:rFonts w:ascii="Times New Roman" w:hAnsi="Times New Roman" w:cs="Times New Roman"/>
          <w:sz w:val="24"/>
          <w:szCs w:val="24"/>
        </w:rPr>
        <w:t xml:space="preserve"> coronavirus</w:t>
      </w:r>
      <w:r w:rsidR="00CD1AD9" w:rsidRPr="00182D4F">
        <w:rPr>
          <w:rFonts w:ascii="Times New Roman" w:hAnsi="Times New Roman" w:cs="Times New Roman"/>
          <w:sz w:val="24"/>
          <w:szCs w:val="24"/>
        </w:rPr>
        <w:t>-</w:t>
      </w:r>
      <w:r w:rsidRPr="00182D4F">
        <w:rPr>
          <w:rFonts w:ascii="Times New Roman" w:hAnsi="Times New Roman" w:cs="Times New Roman"/>
          <w:sz w:val="24"/>
          <w:szCs w:val="24"/>
        </w:rPr>
        <w:t xml:space="preserve">2019 (COVID-19) è </w:t>
      </w:r>
      <w:r w:rsidR="00182D4F">
        <w:rPr>
          <w:rFonts w:ascii="Times New Roman" w:hAnsi="Times New Roman" w:cs="Times New Roman"/>
          <w:sz w:val="24"/>
          <w:szCs w:val="24"/>
        </w:rPr>
        <w:t xml:space="preserve">dovuta a </w:t>
      </w:r>
      <w:r w:rsidRPr="00182D4F">
        <w:rPr>
          <w:rFonts w:ascii="Times New Roman" w:hAnsi="Times New Roman" w:cs="Times New Roman"/>
          <w:sz w:val="24"/>
          <w:szCs w:val="24"/>
        </w:rPr>
        <w:t>un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>infezione del tratto respiratorio</w:t>
      </w:r>
      <w:r w:rsidRPr="00182D4F">
        <w:rPr>
          <w:rFonts w:ascii="Times New Roman" w:hAnsi="Times New Roman" w:cs="Times New Roman"/>
          <w:sz w:val="24"/>
          <w:szCs w:val="24"/>
        </w:rPr>
        <w:t xml:space="preserve"> causata da</w:t>
      </w:r>
      <w:r w:rsidR="00182D4F">
        <w:rPr>
          <w:rFonts w:ascii="Times New Roman" w:hAnsi="Times New Roman" w:cs="Times New Roman"/>
          <w:sz w:val="24"/>
          <w:szCs w:val="24"/>
        </w:rPr>
        <w:t>l</w:t>
      </w:r>
      <w:r w:rsidRPr="00182D4F">
        <w:rPr>
          <w:rFonts w:ascii="Times New Roman" w:hAnsi="Times New Roman" w:cs="Times New Roman"/>
          <w:sz w:val="24"/>
          <w:szCs w:val="24"/>
        </w:rPr>
        <w:t xml:space="preserve"> coronavirus 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SARS-CoV-2 </w:t>
      </w:r>
      <w:r w:rsidRPr="00182D4F">
        <w:rPr>
          <w:rFonts w:ascii="Times New Roman" w:hAnsi="Times New Roman" w:cs="Times New Roman"/>
          <w:sz w:val="24"/>
          <w:szCs w:val="24"/>
        </w:rPr>
        <w:t xml:space="preserve">recentemente identificato, il cui sequenziamento genetico suggerisce </w:t>
      </w:r>
      <w:r w:rsidR="003408E8" w:rsidRPr="00182D4F">
        <w:rPr>
          <w:rFonts w:ascii="Times New Roman" w:hAnsi="Times New Roman" w:cs="Times New Roman"/>
          <w:sz w:val="24"/>
          <w:szCs w:val="24"/>
        </w:rPr>
        <w:t>essere</w:t>
      </w:r>
      <w:r w:rsidRPr="00182D4F">
        <w:rPr>
          <w:rFonts w:ascii="Times New Roman" w:hAnsi="Times New Roman" w:cs="Times New Roman"/>
          <w:sz w:val="24"/>
          <w:szCs w:val="24"/>
        </w:rPr>
        <w:t xml:space="preserve"> un beta</w:t>
      </w:r>
      <w:r w:rsidR="00182D4F">
        <w:rPr>
          <w:rFonts w:ascii="Times New Roman" w:hAnsi="Times New Roman" w:cs="Times New Roman"/>
          <w:sz w:val="24"/>
          <w:szCs w:val="24"/>
        </w:rPr>
        <w:t>-</w:t>
      </w:r>
      <w:r w:rsidRPr="00182D4F">
        <w:rPr>
          <w:rFonts w:ascii="Times New Roman" w:hAnsi="Times New Roman" w:cs="Times New Roman"/>
          <w:sz w:val="24"/>
          <w:szCs w:val="24"/>
        </w:rPr>
        <w:t>coronavirus strettamente legato al virus SARS.</w:t>
      </w:r>
      <w:r w:rsid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sz w:val="24"/>
          <w:szCs w:val="24"/>
        </w:rPr>
        <w:t xml:space="preserve">Sebbene, nella maggior parte dei casi l’infezione </w:t>
      </w:r>
      <w:r w:rsidR="00182D4F">
        <w:rPr>
          <w:rFonts w:ascii="Times New Roman" w:hAnsi="Times New Roman" w:cs="Times New Roman"/>
          <w:sz w:val="24"/>
          <w:szCs w:val="24"/>
        </w:rPr>
        <w:t xml:space="preserve">da SARS-CoV-2 </w:t>
      </w:r>
      <w:r w:rsidR="00147F80" w:rsidRPr="00182D4F">
        <w:rPr>
          <w:rFonts w:ascii="Times New Roman" w:hAnsi="Times New Roman" w:cs="Times New Roman"/>
          <w:sz w:val="24"/>
          <w:szCs w:val="24"/>
        </w:rPr>
        <w:t>si caratterizz</w:t>
      </w:r>
      <w:r w:rsidR="00182D4F">
        <w:rPr>
          <w:rFonts w:ascii="Times New Roman" w:hAnsi="Times New Roman" w:cs="Times New Roman"/>
          <w:sz w:val="24"/>
          <w:szCs w:val="24"/>
        </w:rPr>
        <w:t>i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182D4F">
        <w:rPr>
          <w:rFonts w:ascii="Times New Roman" w:hAnsi="Times New Roman" w:cs="Times New Roman"/>
          <w:sz w:val="24"/>
          <w:szCs w:val="24"/>
        </w:rPr>
        <w:t>con</w:t>
      </w:r>
      <w:r w:rsidRPr="00182D4F">
        <w:rPr>
          <w:rFonts w:ascii="Times New Roman" w:hAnsi="Times New Roman" w:cs="Times New Roman"/>
          <w:sz w:val="24"/>
          <w:szCs w:val="24"/>
        </w:rPr>
        <w:t xml:space="preserve"> manifestazioni cliniche lievi o non complicate, 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>circa il 14% dei pazienti infetti sviluppa sindromi cliniche</w:t>
      </w:r>
      <w:r w:rsidR="00147F80" w:rsidRPr="00182D4F">
        <w:rPr>
          <w:rFonts w:ascii="Times New Roman" w:hAnsi="Times New Roman" w:cs="Times New Roman"/>
          <w:b/>
          <w:bCs/>
          <w:sz w:val="24"/>
          <w:szCs w:val="24"/>
        </w:rPr>
        <w:t xml:space="preserve"> più gravi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 xml:space="preserve"> che richiedono il ricovero in ospedale </w:t>
      </w:r>
      <w:r w:rsidR="00147F80" w:rsidRPr="00182D4F">
        <w:rPr>
          <w:rFonts w:ascii="Times New Roman" w:hAnsi="Times New Roman" w:cs="Times New Roman"/>
          <w:b/>
          <w:bCs/>
          <w:sz w:val="24"/>
          <w:szCs w:val="24"/>
        </w:rPr>
        <w:t>e il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 xml:space="preserve"> supporto di ossigeno</w:t>
      </w:r>
      <w:r w:rsidRPr="00182D4F">
        <w:rPr>
          <w:rFonts w:ascii="Times New Roman" w:hAnsi="Times New Roman" w:cs="Times New Roman"/>
          <w:sz w:val="24"/>
          <w:szCs w:val="24"/>
        </w:rPr>
        <w:t xml:space="preserve">, </w:t>
      </w:r>
      <w:r w:rsidR="00182D4F">
        <w:rPr>
          <w:rFonts w:ascii="Times New Roman" w:hAnsi="Times New Roman" w:cs="Times New Roman"/>
          <w:sz w:val="24"/>
          <w:szCs w:val="24"/>
        </w:rPr>
        <w:t>mentre</w:t>
      </w:r>
      <w:r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>il 5% richiede l</w:t>
      </w:r>
      <w:r w:rsidR="00CF7B4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>ammissione in un</w:t>
      </w:r>
      <w:r w:rsidR="00182D4F" w:rsidRPr="00182D4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>unità di terapia intensiva</w:t>
      </w:r>
      <w:r w:rsidRPr="00182D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4797A" w14:textId="401E5060" w:rsidR="00182D4F" w:rsidRDefault="008F6675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Tra le gravi sindromi cliniche associate all’infezione da </w:t>
      </w:r>
      <w:r w:rsidR="00182D4F">
        <w:rPr>
          <w:rFonts w:ascii="Times New Roman" w:hAnsi="Times New Roman" w:cs="Times New Roman"/>
          <w:sz w:val="24"/>
          <w:szCs w:val="24"/>
        </w:rPr>
        <w:t>SARS-CoV-2</w:t>
      </w:r>
      <w:r w:rsidR="00147F80" w:rsidRPr="00182D4F">
        <w:rPr>
          <w:rFonts w:ascii="Times New Roman" w:hAnsi="Times New Roman" w:cs="Times New Roman"/>
          <w:sz w:val="24"/>
          <w:szCs w:val="24"/>
        </w:rPr>
        <w:t>, o</w:t>
      </w:r>
      <w:r w:rsidR="002665CB" w:rsidRPr="00182D4F">
        <w:rPr>
          <w:rFonts w:ascii="Times New Roman" w:hAnsi="Times New Roman" w:cs="Times New Roman"/>
          <w:sz w:val="24"/>
          <w:szCs w:val="24"/>
        </w:rPr>
        <w:t xml:space="preserve">ltre alla </w:t>
      </w:r>
      <w:r w:rsidR="002665CB" w:rsidRPr="00182D4F">
        <w:rPr>
          <w:rFonts w:ascii="Times New Roman" w:hAnsi="Times New Roman" w:cs="Times New Roman"/>
          <w:b/>
          <w:bCs/>
          <w:sz w:val="24"/>
          <w:szCs w:val="24"/>
        </w:rPr>
        <w:t>polmonite grave</w:t>
      </w:r>
      <w:r w:rsidR="002665CB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147F80" w:rsidRPr="00182D4F">
        <w:rPr>
          <w:rFonts w:ascii="Times New Roman" w:hAnsi="Times New Roman" w:cs="Times New Roman"/>
          <w:sz w:val="24"/>
          <w:szCs w:val="24"/>
        </w:rPr>
        <w:t>e</w:t>
      </w:r>
      <w:r w:rsidR="002665CB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alla </w:t>
      </w:r>
      <w:r w:rsidR="002665CB" w:rsidRPr="00182D4F">
        <w:rPr>
          <w:rFonts w:ascii="Times New Roman" w:hAnsi="Times New Roman" w:cs="Times New Roman"/>
          <w:b/>
          <w:bCs/>
          <w:sz w:val="24"/>
          <w:szCs w:val="24"/>
        </w:rPr>
        <w:t>sindrome acuta da distress respiratorio</w:t>
      </w:r>
      <w:r w:rsidR="002665CB" w:rsidRPr="00182D4F">
        <w:rPr>
          <w:rFonts w:ascii="Times New Roman" w:hAnsi="Times New Roman" w:cs="Times New Roman"/>
          <w:sz w:val="24"/>
          <w:szCs w:val="24"/>
        </w:rPr>
        <w:t xml:space="preserve"> (</w:t>
      </w:r>
      <w:r w:rsidR="00732AAC" w:rsidRPr="00182D4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 xml:space="preserve">cute </w:t>
      </w:r>
      <w:proofErr w:type="spellStart"/>
      <w:r w:rsidR="00732AAC" w:rsidRPr="00182D4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>espiratory</w:t>
      </w:r>
      <w:proofErr w:type="spellEnd"/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32AAC" w:rsidRPr="00182D4F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 xml:space="preserve">istress </w:t>
      </w:r>
      <w:proofErr w:type="spellStart"/>
      <w:r w:rsidR="00732AAC" w:rsidRPr="00182D4F">
        <w:rPr>
          <w:rFonts w:ascii="Times New Roman" w:hAnsi="Times New Roman" w:cs="Times New Roman"/>
          <w:i/>
          <w:iCs/>
          <w:sz w:val="24"/>
          <w:szCs w:val="24"/>
        </w:rPr>
        <w:t>S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>yndrome</w:t>
      </w:r>
      <w:proofErr w:type="spellEnd"/>
      <w:r w:rsidR="00182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="00182D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665CB" w:rsidRPr="00182D4F">
        <w:rPr>
          <w:rFonts w:ascii="Times New Roman" w:hAnsi="Times New Roman" w:cs="Times New Roman"/>
          <w:i/>
          <w:iCs/>
          <w:sz w:val="24"/>
          <w:szCs w:val="24"/>
        </w:rPr>
        <w:t>ARDS</w:t>
      </w:r>
      <w:r w:rsidR="002665CB" w:rsidRPr="00182D4F">
        <w:rPr>
          <w:rFonts w:ascii="Times New Roman" w:hAnsi="Times New Roman" w:cs="Times New Roman"/>
          <w:sz w:val="24"/>
          <w:szCs w:val="24"/>
        </w:rPr>
        <w:t xml:space="preserve">), 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risulta anche </w:t>
      </w:r>
      <w:r w:rsidR="00316CFD" w:rsidRPr="00182D4F">
        <w:rPr>
          <w:rFonts w:ascii="Times New Roman" w:hAnsi="Times New Roman" w:cs="Times New Roman"/>
          <w:sz w:val="24"/>
          <w:szCs w:val="24"/>
        </w:rPr>
        <w:t xml:space="preserve">la </w:t>
      </w:r>
      <w:r w:rsidR="00316CFD" w:rsidRPr="00182D4F">
        <w:rPr>
          <w:rFonts w:ascii="Times New Roman" w:hAnsi="Times New Roman" w:cs="Times New Roman"/>
          <w:b/>
          <w:bCs/>
          <w:sz w:val="24"/>
          <w:szCs w:val="24"/>
        </w:rPr>
        <w:t>sepsi</w:t>
      </w:r>
      <w:r w:rsidR="00732AAC" w:rsidRPr="00182D4F">
        <w:rPr>
          <w:rFonts w:ascii="Times New Roman" w:hAnsi="Times New Roman" w:cs="Times New Roman"/>
          <w:sz w:val="24"/>
          <w:szCs w:val="24"/>
        </w:rPr>
        <w:t>.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182D4F">
        <w:rPr>
          <w:rFonts w:ascii="Times New Roman" w:hAnsi="Times New Roman" w:cs="Times New Roman"/>
          <w:sz w:val="24"/>
          <w:szCs w:val="24"/>
        </w:rPr>
        <w:t>Questa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condizione</w:t>
      </w:r>
      <w:r w:rsidR="00182D4F">
        <w:rPr>
          <w:rFonts w:ascii="Times New Roman" w:hAnsi="Times New Roman" w:cs="Times New Roman"/>
          <w:sz w:val="24"/>
          <w:szCs w:val="24"/>
        </w:rPr>
        <w:t>,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n</w:t>
      </w:r>
      <w:r w:rsidR="002665CB" w:rsidRPr="00182D4F">
        <w:rPr>
          <w:rFonts w:ascii="Times New Roman" w:hAnsi="Times New Roman" w:cs="Times New Roman"/>
          <w:sz w:val="24"/>
          <w:szCs w:val="24"/>
        </w:rPr>
        <w:t>egli adulti</w:t>
      </w:r>
      <w:r w:rsidR="00182D4F">
        <w:rPr>
          <w:rFonts w:ascii="Times New Roman" w:hAnsi="Times New Roman" w:cs="Times New Roman"/>
          <w:sz w:val="24"/>
          <w:szCs w:val="24"/>
        </w:rPr>
        <w:t>,</w:t>
      </w:r>
      <w:r w:rsidR="00732AAC" w:rsidRPr="00182D4F">
        <w:rPr>
          <w:rFonts w:ascii="Times New Roman" w:hAnsi="Times New Roman" w:cs="Times New Roman"/>
          <w:sz w:val="24"/>
          <w:szCs w:val="24"/>
        </w:rPr>
        <w:t xml:space="preserve"> viene definita come </w:t>
      </w:r>
      <w:r w:rsidR="00182D4F">
        <w:rPr>
          <w:rFonts w:ascii="Times New Roman" w:hAnsi="Times New Roman" w:cs="Times New Roman"/>
          <w:sz w:val="24"/>
          <w:szCs w:val="24"/>
        </w:rPr>
        <w:t>«</w:t>
      </w:r>
      <w:r w:rsidR="007F66C9" w:rsidRPr="00182D4F">
        <w:rPr>
          <w:rFonts w:ascii="Times New Roman" w:hAnsi="Times New Roman" w:cs="Times New Roman"/>
          <w:sz w:val="24"/>
          <w:szCs w:val="24"/>
        </w:rPr>
        <w:t>disfunzione d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="007F66C9" w:rsidRPr="00182D4F">
        <w:rPr>
          <w:rFonts w:ascii="Times New Roman" w:hAnsi="Times New Roman" w:cs="Times New Roman"/>
          <w:sz w:val="24"/>
          <w:szCs w:val="24"/>
        </w:rPr>
        <w:t xml:space="preserve">organo potenzialmente letale causata da una risposta </w:t>
      </w:r>
      <w:proofErr w:type="spellStart"/>
      <w:r w:rsidR="007F66C9" w:rsidRPr="00182D4F">
        <w:rPr>
          <w:rFonts w:ascii="Times New Roman" w:hAnsi="Times New Roman" w:cs="Times New Roman"/>
          <w:sz w:val="24"/>
          <w:szCs w:val="24"/>
        </w:rPr>
        <w:t>disregolata</w:t>
      </w:r>
      <w:proofErr w:type="spellEnd"/>
      <w:r w:rsidR="007F66C9" w:rsidRPr="00182D4F">
        <w:rPr>
          <w:rFonts w:ascii="Times New Roman" w:hAnsi="Times New Roman" w:cs="Times New Roman"/>
          <w:sz w:val="24"/>
          <w:szCs w:val="24"/>
        </w:rPr>
        <w:t xml:space="preserve"> dell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="007F66C9" w:rsidRPr="00182D4F">
        <w:rPr>
          <w:rFonts w:ascii="Times New Roman" w:hAnsi="Times New Roman" w:cs="Times New Roman"/>
          <w:sz w:val="24"/>
          <w:szCs w:val="24"/>
        </w:rPr>
        <w:t>ospite a</w:t>
      </w:r>
      <w:r w:rsidR="002665CB" w:rsidRPr="00182D4F">
        <w:rPr>
          <w:rFonts w:ascii="Times New Roman" w:hAnsi="Times New Roman" w:cs="Times New Roman"/>
          <w:sz w:val="24"/>
          <w:szCs w:val="24"/>
        </w:rPr>
        <w:t>ll’</w:t>
      </w:r>
      <w:r w:rsidR="007F66C9" w:rsidRPr="00182D4F">
        <w:rPr>
          <w:rFonts w:ascii="Times New Roman" w:hAnsi="Times New Roman" w:cs="Times New Roman"/>
          <w:sz w:val="24"/>
          <w:szCs w:val="24"/>
        </w:rPr>
        <w:t>infezione</w:t>
      </w:r>
      <w:r w:rsidR="00182D4F">
        <w:rPr>
          <w:rFonts w:ascii="Times New Roman" w:hAnsi="Times New Roman" w:cs="Times New Roman"/>
          <w:sz w:val="24"/>
          <w:szCs w:val="24"/>
        </w:rPr>
        <w:t>»</w:t>
      </w:r>
      <w:r w:rsidR="007F66C9"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316CFD" w:rsidRPr="00182D4F">
        <w:rPr>
          <w:rFonts w:ascii="Times New Roman" w:hAnsi="Times New Roman" w:cs="Times New Roman"/>
          <w:sz w:val="24"/>
          <w:szCs w:val="24"/>
        </w:rPr>
        <w:t xml:space="preserve">Prove laboratoristiche di coagulopatia risultano tra i segni tipici di </w:t>
      </w:r>
      <w:r w:rsidR="00182D4F">
        <w:rPr>
          <w:rFonts w:ascii="Times New Roman" w:hAnsi="Times New Roman" w:cs="Times New Roman"/>
          <w:sz w:val="24"/>
          <w:szCs w:val="24"/>
        </w:rPr>
        <w:t>questa</w:t>
      </w:r>
      <w:r w:rsidR="00316CFD" w:rsidRPr="00182D4F">
        <w:rPr>
          <w:rFonts w:ascii="Times New Roman" w:hAnsi="Times New Roman" w:cs="Times New Roman"/>
          <w:sz w:val="24"/>
          <w:szCs w:val="24"/>
        </w:rPr>
        <w:t xml:space="preserve"> disfunzione d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="00316CFD" w:rsidRPr="00182D4F">
        <w:rPr>
          <w:rFonts w:ascii="Times New Roman" w:hAnsi="Times New Roman" w:cs="Times New Roman"/>
          <w:sz w:val="24"/>
          <w:szCs w:val="24"/>
        </w:rPr>
        <w:t>organo</w:t>
      </w:r>
      <w:r w:rsidR="00A97DAB" w:rsidRPr="00182D4F">
        <w:rPr>
          <w:rFonts w:ascii="Times New Roman" w:hAnsi="Times New Roman" w:cs="Times New Roman"/>
          <w:sz w:val="24"/>
          <w:szCs w:val="24"/>
        </w:rPr>
        <w:t xml:space="preserve"> [1]</w:t>
      </w:r>
      <w:r w:rsidR="00732AAC" w:rsidRPr="00182D4F">
        <w:rPr>
          <w:rFonts w:ascii="Times New Roman" w:hAnsi="Times New Roman" w:cs="Times New Roman"/>
          <w:sz w:val="24"/>
          <w:szCs w:val="24"/>
        </w:rPr>
        <w:t>.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DAE974" w14:textId="77777777" w:rsidR="00CF7B47" w:rsidRDefault="00CD1AD9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37836347"/>
      <w:r w:rsidRPr="00182D4F">
        <w:rPr>
          <w:rFonts w:ascii="Times New Roman" w:hAnsi="Times New Roman" w:cs="Times New Roman"/>
          <w:sz w:val="24"/>
          <w:szCs w:val="24"/>
        </w:rPr>
        <w:t xml:space="preserve">I 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>enomeni tromboembolici risultano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dunque</w:t>
      </w:r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frequenti nei pazienti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gravi</w:t>
      </w:r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colpiti dal virus</w:t>
      </w:r>
      <w:bookmarkEnd w:id="0"/>
      <w:r w:rsidR="00A97DAB"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3408E8" w:rsidRPr="00182D4F">
        <w:rPr>
          <w:rFonts w:ascii="Times New Roman" w:hAnsi="Times New Roman" w:cs="Times New Roman"/>
          <w:sz w:val="24"/>
          <w:szCs w:val="24"/>
        </w:rPr>
        <w:t>D</w:t>
      </w:r>
      <w:r w:rsidR="00A97DAB" w:rsidRPr="00182D4F">
        <w:rPr>
          <w:rFonts w:ascii="Times New Roman" w:hAnsi="Times New Roman" w:cs="Times New Roman"/>
          <w:sz w:val="24"/>
          <w:szCs w:val="24"/>
        </w:rPr>
        <w:t xml:space="preserve">alla dissezione polmonare di pazienti critici 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affetti da </w:t>
      </w:r>
      <w:r w:rsidR="00A97DAB" w:rsidRPr="00182D4F">
        <w:rPr>
          <w:rFonts w:ascii="Times New Roman" w:hAnsi="Times New Roman" w:cs="Times New Roman"/>
          <w:sz w:val="24"/>
          <w:szCs w:val="24"/>
        </w:rPr>
        <w:t xml:space="preserve">COVID-19 </w:t>
      </w:r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sono state riscontrate occlusione e formazione di </w:t>
      </w:r>
      <w:proofErr w:type="spellStart"/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>microtrombi</w:t>
      </w:r>
      <w:proofErr w:type="spellEnd"/>
      <w:r w:rsidR="00A97DAB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in piccoli vasi polmonari</w:t>
      </w:r>
      <w:r w:rsidR="00A97DAB"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147F80" w:rsidRPr="00182D4F">
        <w:rPr>
          <w:rFonts w:ascii="Times New Roman" w:hAnsi="Times New Roman" w:cs="Times New Roman"/>
          <w:sz w:val="24"/>
          <w:szCs w:val="24"/>
        </w:rPr>
        <w:t>T</w:t>
      </w:r>
      <w:r w:rsidR="00A97DAB" w:rsidRPr="00182D4F">
        <w:rPr>
          <w:rFonts w:ascii="Times New Roman" w:hAnsi="Times New Roman" w:cs="Times New Roman"/>
          <w:sz w:val="24"/>
          <w:szCs w:val="24"/>
        </w:rPr>
        <w:t>ali fenomeni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, </w:t>
      </w:r>
      <w:r w:rsidR="00A97DAB" w:rsidRPr="00182D4F">
        <w:rPr>
          <w:rFonts w:ascii="Times New Roman" w:hAnsi="Times New Roman" w:cs="Times New Roman"/>
          <w:sz w:val="24"/>
          <w:szCs w:val="24"/>
        </w:rPr>
        <w:t>che possono interessare anche altri organi diversi dai polmoni, sono indotti dai processi infiammatori tipici delle infezioni virali.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005FCA" w14:textId="1C777BF3" w:rsidR="00182D4F" w:rsidRDefault="00A97DAB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o stato di </w:t>
      </w:r>
      <w:proofErr w:type="spellStart"/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ipercoagulabilità</w:t>
      </w:r>
      <w:proofErr w:type="spellEnd"/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che caratterizza i pazienti affetti da infezione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viral</w:t>
      </w:r>
      <w:r w:rsidR="00CD1AD9" w:rsidRPr="00CF7B47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47F80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come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82D4F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nella malattia da 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147F80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è correlabile</w:t>
      </w:r>
      <w:r w:rsidR="003408E8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>infatti</w:t>
      </w:r>
      <w:r w:rsidR="003408E8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ad un</w:t>
      </w:r>
      <w:r w:rsidR="00182D4F" w:rsidRPr="00CF7B47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eccessiva produzione di trombina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 e a una 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riduzione del processo di fibrinolisi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 causate dalla disfunzione endotelial</w:t>
      </w:r>
      <w:r w:rsidR="00CD1AD9" w:rsidRPr="00182D4F">
        <w:rPr>
          <w:rFonts w:ascii="Times New Roman" w:hAnsi="Times New Roman" w:cs="Times New Roman"/>
          <w:sz w:val="24"/>
          <w:szCs w:val="24"/>
        </w:rPr>
        <w:t>e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 indotta dall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="00395049" w:rsidRPr="00182D4F">
        <w:rPr>
          <w:rFonts w:ascii="Times New Roman" w:hAnsi="Times New Roman" w:cs="Times New Roman"/>
          <w:sz w:val="24"/>
          <w:szCs w:val="24"/>
        </w:rPr>
        <w:t>infezione in atto</w:t>
      </w:r>
      <w:r w:rsidR="00147F80" w:rsidRPr="00182D4F">
        <w:rPr>
          <w:rFonts w:ascii="Times New Roman" w:hAnsi="Times New Roman" w:cs="Times New Roman"/>
          <w:sz w:val="24"/>
          <w:szCs w:val="24"/>
        </w:rPr>
        <w:t>. Inoltre</w:t>
      </w:r>
      <w:r w:rsidR="00CD1AD9" w:rsidRPr="00182D4F">
        <w:rPr>
          <w:rFonts w:ascii="Times New Roman" w:hAnsi="Times New Roman" w:cs="Times New Roman"/>
          <w:sz w:val="24"/>
          <w:szCs w:val="24"/>
        </w:rPr>
        <w:t>,</w:t>
      </w:r>
      <w:r w:rsidR="00147F80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147F80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la stessa 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>ipossia</w:t>
      </w:r>
      <w:r w:rsidR="003408E8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caratterizzante le infezioni da </w:t>
      </w:r>
      <w:r w:rsidR="00182D4F" w:rsidRPr="00CF7B47">
        <w:rPr>
          <w:rFonts w:ascii="Times New Roman" w:hAnsi="Times New Roman" w:cs="Times New Roman"/>
          <w:b/>
          <w:bCs/>
          <w:sz w:val="24"/>
          <w:szCs w:val="24"/>
        </w:rPr>
        <w:t>SARS-CoV-2</w:t>
      </w:r>
      <w:r w:rsidR="003408E8" w:rsidRPr="00CF7B4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395049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stimola la trombosi</w:t>
      </w:r>
      <w:r w:rsidR="00147F80" w:rsidRPr="00182D4F">
        <w:rPr>
          <w:rFonts w:ascii="Times New Roman" w:hAnsi="Times New Roman" w:cs="Times New Roman"/>
          <w:sz w:val="24"/>
          <w:szCs w:val="24"/>
        </w:rPr>
        <w:t>,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sz w:val="24"/>
          <w:szCs w:val="24"/>
        </w:rPr>
        <w:t>non solo</w:t>
      </w:r>
      <w:r w:rsidR="00395049" w:rsidRPr="00182D4F">
        <w:rPr>
          <w:rFonts w:ascii="Times New Roman" w:hAnsi="Times New Roman" w:cs="Times New Roman"/>
          <w:sz w:val="24"/>
          <w:szCs w:val="24"/>
        </w:rPr>
        <w:t xml:space="preserve"> aumentando la viscosità del sangue, ma anche attraverso </w:t>
      </w:r>
      <w:r w:rsidRPr="00182D4F">
        <w:rPr>
          <w:rFonts w:ascii="Times New Roman" w:hAnsi="Times New Roman" w:cs="Times New Roman"/>
          <w:sz w:val="24"/>
          <w:szCs w:val="24"/>
        </w:rPr>
        <w:t xml:space="preserve">un </w:t>
      </w:r>
      <w:r w:rsidR="00395049" w:rsidRPr="00182D4F">
        <w:rPr>
          <w:rFonts w:ascii="Times New Roman" w:hAnsi="Times New Roman" w:cs="Times New Roman"/>
          <w:sz w:val="24"/>
          <w:szCs w:val="24"/>
        </w:rPr>
        <w:t>fattore di trascrizione inducibile dall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="00395049" w:rsidRPr="00182D4F">
        <w:rPr>
          <w:rFonts w:ascii="Times New Roman" w:hAnsi="Times New Roman" w:cs="Times New Roman"/>
          <w:sz w:val="24"/>
          <w:szCs w:val="24"/>
        </w:rPr>
        <w:t>ipossia</w:t>
      </w:r>
      <w:r w:rsid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395049" w:rsidRPr="00182D4F">
        <w:rPr>
          <w:rFonts w:ascii="Times New Roman" w:hAnsi="Times New Roman" w:cs="Times New Roman"/>
          <w:sz w:val="24"/>
          <w:szCs w:val="24"/>
        </w:rPr>
        <w:t>[</w:t>
      </w:r>
      <w:r w:rsidRPr="00182D4F">
        <w:rPr>
          <w:rFonts w:ascii="Times New Roman" w:hAnsi="Times New Roman" w:cs="Times New Roman"/>
          <w:sz w:val="24"/>
          <w:szCs w:val="24"/>
        </w:rPr>
        <w:t>2</w:t>
      </w:r>
      <w:r w:rsidR="00395049" w:rsidRPr="00182D4F">
        <w:rPr>
          <w:rFonts w:ascii="Times New Roman" w:hAnsi="Times New Roman" w:cs="Times New Roman"/>
          <w:sz w:val="24"/>
          <w:szCs w:val="24"/>
        </w:rPr>
        <w:t>].</w:t>
      </w:r>
    </w:p>
    <w:p w14:paraId="547EF2E1" w14:textId="603D9824" w:rsidR="0018410C" w:rsidRPr="00182D4F" w:rsidRDefault="0018410C" w:rsidP="00BF42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Va infine considerato 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l’impatto che </w:t>
      </w:r>
      <w:r w:rsidR="00182D4F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il 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>COVID-19 può indurre a livello cardiovascolare</w:t>
      </w:r>
      <w:r w:rsidRPr="00182D4F">
        <w:rPr>
          <w:rFonts w:ascii="Times New Roman" w:hAnsi="Times New Roman" w:cs="Times New Roman"/>
          <w:sz w:val="24"/>
          <w:szCs w:val="24"/>
        </w:rPr>
        <w:t>, non solo in pazienti con pregressa compromissione di tale sistema</w:t>
      </w:r>
      <w:r w:rsidR="00CD1AD9" w:rsidRPr="00182D4F">
        <w:rPr>
          <w:rFonts w:ascii="Times New Roman" w:hAnsi="Times New Roman" w:cs="Times New Roman"/>
          <w:sz w:val="24"/>
          <w:szCs w:val="24"/>
        </w:rPr>
        <w:t>. È noto</w:t>
      </w:r>
      <w:r w:rsidR="003408E8" w:rsidRPr="00182D4F">
        <w:rPr>
          <w:rFonts w:ascii="Times New Roman" w:hAnsi="Times New Roman" w:cs="Times New Roman"/>
          <w:sz w:val="24"/>
          <w:szCs w:val="24"/>
        </w:rPr>
        <w:t>,</w:t>
      </w:r>
      <w:r w:rsidR="00CD1AD9" w:rsidRPr="00182D4F">
        <w:rPr>
          <w:rFonts w:ascii="Times New Roman" w:hAnsi="Times New Roman" w:cs="Times New Roman"/>
          <w:sz w:val="24"/>
          <w:szCs w:val="24"/>
        </w:rPr>
        <w:t xml:space="preserve"> infatti</w:t>
      </w:r>
      <w:r w:rsidR="003408E8" w:rsidRPr="00182D4F">
        <w:rPr>
          <w:rFonts w:ascii="Times New Roman" w:hAnsi="Times New Roman" w:cs="Times New Roman"/>
          <w:sz w:val="24"/>
          <w:szCs w:val="24"/>
        </w:rPr>
        <w:t>,</w:t>
      </w:r>
      <w:r w:rsidR="00CD1AD9" w:rsidRPr="00182D4F">
        <w:rPr>
          <w:rFonts w:ascii="Times New Roman" w:hAnsi="Times New Roman" w:cs="Times New Roman"/>
          <w:sz w:val="24"/>
          <w:szCs w:val="24"/>
        </w:rPr>
        <w:t xml:space="preserve"> che questi ultimi</w:t>
      </w:r>
      <w:r w:rsidRPr="00182D4F">
        <w:rPr>
          <w:rFonts w:ascii="Times New Roman" w:hAnsi="Times New Roman" w:cs="Times New Roman"/>
          <w:sz w:val="24"/>
          <w:szCs w:val="24"/>
        </w:rPr>
        <w:t xml:space="preserve"> mostrano un maggiore rischio di elevata morbilità e mortalità.</w:t>
      </w:r>
      <w:r w:rsidR="00CD1AD9" w:rsidRPr="00182D4F">
        <w:rPr>
          <w:rFonts w:ascii="Times New Roman" w:hAnsi="Times New Roman" w:cs="Times New Roman"/>
          <w:sz w:val="24"/>
          <w:szCs w:val="24"/>
        </w:rPr>
        <w:t xml:space="preserve"> Tuttavia</w:t>
      </w:r>
      <w:r w:rsidR="003408E8" w:rsidRPr="00182D4F">
        <w:rPr>
          <w:rFonts w:ascii="Times New Roman" w:hAnsi="Times New Roman" w:cs="Times New Roman"/>
          <w:sz w:val="24"/>
          <w:szCs w:val="24"/>
        </w:rPr>
        <w:t>,</w:t>
      </w:r>
      <w:r w:rsidR="00CD1AD9" w:rsidRPr="00182D4F">
        <w:rPr>
          <w:rFonts w:ascii="Times New Roman" w:hAnsi="Times New Roman" w:cs="Times New Roman"/>
          <w:sz w:val="24"/>
          <w:szCs w:val="24"/>
        </w:rPr>
        <w:t xml:space="preserve"> l</w:t>
      </w:r>
      <w:r w:rsidR="00182D4F">
        <w:rPr>
          <w:rFonts w:ascii="Times New Roman" w:hAnsi="Times New Roman" w:cs="Times New Roman"/>
          <w:sz w:val="24"/>
          <w:szCs w:val="24"/>
        </w:rPr>
        <w:t>’</w:t>
      </w:r>
      <w:r w:rsidRPr="00182D4F">
        <w:rPr>
          <w:rFonts w:ascii="Times New Roman" w:hAnsi="Times New Roman" w:cs="Times New Roman"/>
          <w:sz w:val="24"/>
          <w:szCs w:val="24"/>
        </w:rPr>
        <w:t xml:space="preserve">infezione da </w:t>
      </w:r>
      <w:r w:rsidR="00182D4F">
        <w:rPr>
          <w:rFonts w:ascii="Times New Roman" w:hAnsi="Times New Roman" w:cs="Times New Roman"/>
          <w:sz w:val="24"/>
          <w:szCs w:val="24"/>
        </w:rPr>
        <w:t xml:space="preserve">SARS-CoV-2 </w:t>
      </w:r>
      <w:r w:rsidRPr="00182D4F">
        <w:rPr>
          <w:rFonts w:ascii="Times New Roman" w:hAnsi="Times New Roman" w:cs="Times New Roman"/>
          <w:sz w:val="24"/>
          <w:szCs w:val="24"/>
        </w:rPr>
        <w:t>è stata associata</w:t>
      </w:r>
      <w:r w:rsidR="00CD1AD9" w:rsidRPr="00182D4F">
        <w:rPr>
          <w:rFonts w:ascii="Times New Roman" w:hAnsi="Times New Roman" w:cs="Times New Roman"/>
          <w:sz w:val="24"/>
          <w:szCs w:val="24"/>
        </w:rPr>
        <w:t xml:space="preserve"> in tutti i pazienti</w:t>
      </w:r>
      <w:r w:rsidRPr="00182D4F">
        <w:rPr>
          <w:rFonts w:ascii="Times New Roman" w:hAnsi="Times New Roman" w:cs="Times New Roman"/>
          <w:sz w:val="24"/>
          <w:szCs w:val="24"/>
        </w:rPr>
        <w:t xml:space="preserve"> a diverse </w:t>
      </w:r>
      <w:r w:rsidR="00CD1AD9" w:rsidRPr="00182D4F">
        <w:rPr>
          <w:rFonts w:ascii="Times New Roman" w:hAnsi="Times New Roman" w:cs="Times New Roman"/>
          <w:sz w:val="24"/>
          <w:szCs w:val="24"/>
        </w:rPr>
        <w:t>possibili</w:t>
      </w:r>
      <w:r w:rsidRPr="00182D4F">
        <w:rPr>
          <w:rFonts w:ascii="Times New Roman" w:hAnsi="Times New Roman" w:cs="Times New Roman"/>
          <w:sz w:val="24"/>
          <w:szCs w:val="24"/>
        </w:rPr>
        <w:t xml:space="preserve"> complicanze cardiovascolari</w:t>
      </w:r>
      <w:r w:rsidR="00CD1AD9" w:rsidRPr="00182D4F">
        <w:rPr>
          <w:rFonts w:ascii="Times New Roman" w:hAnsi="Times New Roman" w:cs="Times New Roman"/>
          <w:sz w:val="24"/>
          <w:szCs w:val="24"/>
        </w:rPr>
        <w:t>, quali</w:t>
      </w:r>
      <w:r w:rsidRPr="00182D4F">
        <w:rPr>
          <w:rFonts w:ascii="Times New Roman" w:hAnsi="Times New Roman" w:cs="Times New Roman"/>
          <w:sz w:val="24"/>
          <w:szCs w:val="24"/>
        </w:rPr>
        <w:t xml:space="preserve"> tromboembolismo venoso, </w:t>
      </w:r>
      <w:r w:rsidRPr="00CF7B47">
        <w:rPr>
          <w:rFonts w:ascii="Times New Roman" w:hAnsi="Times New Roman" w:cs="Times New Roman"/>
          <w:b/>
          <w:bCs/>
          <w:sz w:val="24"/>
          <w:szCs w:val="24"/>
        </w:rPr>
        <w:t>lesioni miocardiche acute, miocardite e aritmie</w:t>
      </w:r>
      <w:r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CF7B47">
        <w:rPr>
          <w:rFonts w:ascii="Times New Roman" w:hAnsi="Times New Roman" w:cs="Times New Roman"/>
          <w:sz w:val="24"/>
          <w:szCs w:val="24"/>
        </w:rPr>
        <w:t>Ancora</w:t>
      </w:r>
      <w:r w:rsidR="00CD1AD9" w:rsidRPr="00182D4F">
        <w:rPr>
          <w:rFonts w:ascii="Times New Roman" w:hAnsi="Times New Roman" w:cs="Times New Roman"/>
          <w:sz w:val="24"/>
          <w:szCs w:val="24"/>
        </w:rPr>
        <w:t>,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non vanno sottovalutat</w:t>
      </w:r>
      <w:r w:rsidR="0074194D" w:rsidRPr="00182D4F">
        <w:rPr>
          <w:rFonts w:ascii="Times New Roman" w:hAnsi="Times New Roman" w:cs="Times New Roman"/>
          <w:sz w:val="24"/>
          <w:szCs w:val="24"/>
        </w:rPr>
        <w:t>i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i possibili eventi avversi </w:t>
      </w:r>
      <w:r w:rsidR="002C41A2" w:rsidRPr="00182D4F">
        <w:rPr>
          <w:rFonts w:ascii="Times New Roman" w:hAnsi="Times New Roman" w:cs="Times New Roman"/>
          <w:sz w:val="24"/>
          <w:szCs w:val="24"/>
        </w:rPr>
        <w:t xml:space="preserve">cardiovascolari 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correlabili alle terapie </w:t>
      </w:r>
      <w:proofErr w:type="spellStart"/>
      <w:r w:rsidR="00D86D1A" w:rsidRPr="00182D4F">
        <w:rPr>
          <w:rFonts w:ascii="Times New Roman" w:hAnsi="Times New Roman" w:cs="Times New Roman"/>
          <w:sz w:val="24"/>
          <w:szCs w:val="24"/>
        </w:rPr>
        <w:t>anti-COVID</w:t>
      </w:r>
      <w:proofErr w:type="spellEnd"/>
      <w:r w:rsidR="00D86D1A" w:rsidRPr="00182D4F">
        <w:rPr>
          <w:rFonts w:ascii="Times New Roman" w:hAnsi="Times New Roman" w:cs="Times New Roman"/>
          <w:sz w:val="24"/>
          <w:szCs w:val="24"/>
        </w:rPr>
        <w:t xml:space="preserve"> somministrate. Si pensi </w:t>
      </w:r>
      <w:r w:rsidR="002C41A2" w:rsidRPr="00182D4F">
        <w:rPr>
          <w:rFonts w:ascii="Times New Roman" w:hAnsi="Times New Roman" w:cs="Times New Roman"/>
          <w:sz w:val="24"/>
          <w:szCs w:val="24"/>
        </w:rPr>
        <w:t xml:space="preserve">ad esempio 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al possibile </w:t>
      </w:r>
      <w:r w:rsidR="00D86D1A" w:rsidRPr="00CF7B47">
        <w:rPr>
          <w:rFonts w:ascii="Times New Roman" w:hAnsi="Times New Roman" w:cs="Times New Roman"/>
          <w:b/>
          <w:bCs/>
          <w:sz w:val="24"/>
          <w:szCs w:val="24"/>
        </w:rPr>
        <w:t>prolungamento del QT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che potrebbe</w:t>
      </w:r>
      <w:r w:rsidR="00BF4244" w:rsidRPr="00182D4F">
        <w:rPr>
          <w:rFonts w:ascii="Times New Roman" w:hAnsi="Times New Roman" w:cs="Times New Roman"/>
          <w:sz w:val="24"/>
          <w:szCs w:val="24"/>
        </w:rPr>
        <w:t xml:space="preserve"> essere indotto da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trattament</w:t>
      </w:r>
      <w:r w:rsidR="00BF4244" w:rsidRPr="00182D4F">
        <w:rPr>
          <w:rFonts w:ascii="Times New Roman" w:hAnsi="Times New Roman" w:cs="Times New Roman"/>
          <w:sz w:val="24"/>
          <w:szCs w:val="24"/>
        </w:rPr>
        <w:t>i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BF4244" w:rsidRPr="00182D4F">
        <w:rPr>
          <w:rFonts w:ascii="Times New Roman" w:hAnsi="Times New Roman" w:cs="Times New Roman"/>
          <w:sz w:val="24"/>
          <w:szCs w:val="24"/>
        </w:rPr>
        <w:t>con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D86D1A" w:rsidRPr="00CF7B47">
        <w:rPr>
          <w:rFonts w:ascii="Times New Roman" w:hAnsi="Times New Roman" w:cs="Times New Roman"/>
          <w:b/>
          <w:bCs/>
          <w:sz w:val="24"/>
          <w:szCs w:val="24"/>
        </w:rPr>
        <w:t>lopinavir/ritonavir</w:t>
      </w:r>
      <w:r w:rsidR="00D86D1A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BF4244" w:rsidRPr="00182D4F">
        <w:rPr>
          <w:rFonts w:ascii="Times New Roman" w:hAnsi="Times New Roman" w:cs="Times New Roman"/>
          <w:sz w:val="24"/>
          <w:szCs w:val="24"/>
        </w:rPr>
        <w:t xml:space="preserve">o con </w:t>
      </w:r>
      <w:r w:rsidR="00BF4244" w:rsidRPr="00CF7B47">
        <w:rPr>
          <w:rFonts w:ascii="Times New Roman" w:hAnsi="Times New Roman" w:cs="Times New Roman"/>
          <w:b/>
          <w:bCs/>
          <w:sz w:val="24"/>
          <w:szCs w:val="24"/>
        </w:rPr>
        <w:t>idrossiclorochina</w:t>
      </w:r>
      <w:r w:rsidR="002C41A2" w:rsidRPr="00182D4F">
        <w:rPr>
          <w:rFonts w:ascii="Times New Roman" w:hAnsi="Times New Roman" w:cs="Times New Roman"/>
          <w:sz w:val="24"/>
          <w:szCs w:val="24"/>
        </w:rPr>
        <w:t>,</w:t>
      </w:r>
      <w:r w:rsidR="00BF4244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D86D1A" w:rsidRPr="00182D4F">
        <w:rPr>
          <w:rFonts w:ascii="Times New Roman" w:hAnsi="Times New Roman" w:cs="Times New Roman"/>
          <w:sz w:val="24"/>
          <w:szCs w:val="24"/>
        </w:rPr>
        <w:t>specialmente nei pazienti con anormalità al basale</w:t>
      </w:r>
      <w:r w:rsidR="00BF4244" w:rsidRPr="00182D4F">
        <w:rPr>
          <w:rFonts w:ascii="Times New Roman" w:hAnsi="Times New Roman" w:cs="Times New Roman"/>
          <w:sz w:val="24"/>
          <w:szCs w:val="24"/>
        </w:rPr>
        <w:t xml:space="preserve"> o con specifici fattori di rischio [</w:t>
      </w:r>
      <w:r w:rsidR="007C656F" w:rsidRPr="00182D4F">
        <w:rPr>
          <w:rFonts w:ascii="Times New Roman" w:hAnsi="Times New Roman" w:cs="Times New Roman"/>
          <w:sz w:val="24"/>
          <w:szCs w:val="24"/>
        </w:rPr>
        <w:t>3, 4</w:t>
      </w:r>
      <w:r w:rsidR="00BF4244" w:rsidRPr="00182D4F">
        <w:rPr>
          <w:rFonts w:ascii="Times New Roman" w:hAnsi="Times New Roman" w:cs="Times New Roman"/>
          <w:sz w:val="24"/>
          <w:szCs w:val="24"/>
        </w:rPr>
        <w:t>]</w:t>
      </w:r>
      <w:r w:rsidR="007C656F" w:rsidRPr="00182D4F">
        <w:rPr>
          <w:rFonts w:ascii="Times New Roman" w:hAnsi="Times New Roman" w:cs="Times New Roman"/>
          <w:sz w:val="24"/>
          <w:szCs w:val="24"/>
        </w:rPr>
        <w:t>.</w:t>
      </w:r>
      <w:r w:rsidR="00BF4244" w:rsidRPr="00182D4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FA472D" w14:textId="77777777" w:rsidR="00CF7B47" w:rsidRDefault="00CD1AD9" w:rsidP="0075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Alla luce di quanto esposto, </w:t>
      </w:r>
      <w:r w:rsidR="00067101" w:rsidRPr="00182D4F">
        <w:rPr>
          <w:rFonts w:ascii="Times New Roman" w:hAnsi="Times New Roman" w:cs="Times New Roman"/>
          <w:sz w:val="24"/>
          <w:szCs w:val="24"/>
        </w:rPr>
        <w:t>emerge</w:t>
      </w:r>
      <w:r w:rsidRPr="00182D4F">
        <w:rPr>
          <w:rFonts w:ascii="Times New Roman" w:hAnsi="Times New Roman" w:cs="Times New Roman"/>
          <w:sz w:val="24"/>
          <w:szCs w:val="24"/>
        </w:rPr>
        <w:t xml:space="preserve"> una </w:t>
      </w:r>
      <w:r w:rsidR="007F6CE2" w:rsidRPr="00182D4F">
        <w:rPr>
          <w:rFonts w:ascii="Times New Roman" w:hAnsi="Times New Roman" w:cs="Times New Roman"/>
          <w:sz w:val="24"/>
          <w:szCs w:val="24"/>
        </w:rPr>
        <w:t>evidente</w:t>
      </w:r>
      <w:r w:rsidRPr="00182D4F">
        <w:rPr>
          <w:rFonts w:ascii="Times New Roman" w:hAnsi="Times New Roman" w:cs="Times New Roman"/>
          <w:sz w:val="24"/>
          <w:szCs w:val="24"/>
        </w:rPr>
        <w:t xml:space="preserve"> correlazione tra l’infezione </w:t>
      </w:r>
      <w:r w:rsidR="00CF7B47">
        <w:rPr>
          <w:rFonts w:ascii="Times New Roman" w:hAnsi="Times New Roman" w:cs="Times New Roman"/>
          <w:sz w:val="24"/>
          <w:szCs w:val="24"/>
        </w:rPr>
        <w:t xml:space="preserve">da SARS-CoV-2 </w:t>
      </w:r>
      <w:r w:rsidRPr="00182D4F">
        <w:rPr>
          <w:rFonts w:ascii="Times New Roman" w:hAnsi="Times New Roman" w:cs="Times New Roman"/>
          <w:sz w:val="24"/>
          <w:szCs w:val="24"/>
        </w:rPr>
        <w:t>e l’omeostasi del sistema cardiovascolare.</w:t>
      </w:r>
      <w:r w:rsidR="00CF7B47">
        <w:rPr>
          <w:rFonts w:ascii="Times New Roman" w:hAnsi="Times New Roman" w:cs="Times New Roman"/>
          <w:sz w:val="24"/>
          <w:szCs w:val="24"/>
        </w:rPr>
        <w:t xml:space="preserve"> 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Recenti </w:t>
      </w:r>
      <w:r w:rsidR="000C3EF7" w:rsidRPr="00182D4F">
        <w:rPr>
          <w:rFonts w:ascii="Times New Roman" w:hAnsi="Times New Roman" w:cs="Times New Roman"/>
          <w:sz w:val="24"/>
          <w:szCs w:val="24"/>
        </w:rPr>
        <w:t>studi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suggeriscono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0C3EF7" w:rsidRPr="00182D4F">
        <w:rPr>
          <w:rFonts w:ascii="Times New Roman" w:hAnsi="Times New Roman" w:cs="Times New Roman"/>
          <w:sz w:val="24"/>
          <w:szCs w:val="24"/>
        </w:rPr>
        <w:t xml:space="preserve">i </w:t>
      </w:r>
      <w:r w:rsidR="000C3EF7" w:rsidRPr="00CF7B47">
        <w:rPr>
          <w:rFonts w:ascii="Times New Roman" w:hAnsi="Times New Roman" w:cs="Times New Roman"/>
          <w:b/>
          <w:bCs/>
          <w:sz w:val="24"/>
          <w:szCs w:val="24"/>
        </w:rPr>
        <w:t>benefici</w:t>
      </w:r>
      <w:r w:rsidR="00067101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d</w:t>
      </w:r>
      <w:r w:rsidR="000C3EF7" w:rsidRPr="00CF7B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67101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trattament</w:t>
      </w:r>
      <w:r w:rsidR="000C3EF7" w:rsidRPr="00CF7B47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067101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 anticoagulant</w:t>
      </w:r>
      <w:r w:rsidR="000C3EF7" w:rsidRPr="00CF7B47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067101" w:rsidRPr="00CF7B47">
        <w:rPr>
          <w:rFonts w:ascii="Times New Roman" w:hAnsi="Times New Roman" w:cs="Times New Roman"/>
          <w:b/>
          <w:bCs/>
          <w:sz w:val="24"/>
          <w:szCs w:val="24"/>
        </w:rPr>
        <w:t>ed in particolare dell’eparina</w:t>
      </w:r>
      <w:r w:rsidR="007C656F" w:rsidRPr="00182D4F">
        <w:rPr>
          <w:rFonts w:ascii="Times New Roman" w:hAnsi="Times New Roman" w:cs="Times New Roman"/>
          <w:sz w:val="24"/>
          <w:szCs w:val="24"/>
        </w:rPr>
        <w:t xml:space="preserve"> a basso peso molecolare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in caso di infezione C</w:t>
      </w:r>
      <w:r w:rsidR="007F6CE2" w:rsidRPr="00182D4F">
        <w:rPr>
          <w:rFonts w:ascii="Times New Roman" w:hAnsi="Times New Roman" w:cs="Times New Roman"/>
          <w:sz w:val="24"/>
          <w:szCs w:val="24"/>
        </w:rPr>
        <w:t>OVID</w:t>
      </w:r>
      <w:r w:rsidR="00067101" w:rsidRPr="00182D4F">
        <w:rPr>
          <w:rFonts w:ascii="Times New Roman" w:hAnsi="Times New Roman" w:cs="Times New Roman"/>
          <w:sz w:val="24"/>
          <w:szCs w:val="24"/>
        </w:rPr>
        <w:t>-19</w:t>
      </w:r>
      <w:r w:rsidR="00CF7B47">
        <w:rPr>
          <w:rFonts w:ascii="Times New Roman" w:hAnsi="Times New Roman" w:cs="Times New Roman"/>
          <w:sz w:val="24"/>
          <w:szCs w:val="24"/>
        </w:rPr>
        <w:t>.</w:t>
      </w:r>
    </w:p>
    <w:p w14:paraId="48EDD8E9" w14:textId="6EBF5A5B" w:rsidR="00CF7B47" w:rsidRDefault="007562C3" w:rsidP="0075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Tramite revisione dei dati del registro elettronico clinico,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è stato condotto uno studio retrospettivo su 449 pazienti ospedalizzati con COVID-19 grave presso il </w:t>
      </w:r>
      <w:proofErr w:type="spellStart"/>
      <w:r w:rsidRPr="003E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Tongji</w:t>
      </w:r>
      <w:proofErr w:type="spellEnd"/>
      <w:r w:rsidRPr="003E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Hospital of </w:t>
      </w:r>
      <w:proofErr w:type="spellStart"/>
      <w:r w:rsidRPr="003E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Huazhong</w:t>
      </w:r>
      <w:proofErr w:type="spellEnd"/>
      <w:r w:rsidRPr="003E49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University of Science and Technology,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Wuhan</w:t>
      </w:r>
      <w:r w:rsidRPr="00182D4F">
        <w:rPr>
          <w:rFonts w:ascii="Times New Roman" w:hAnsi="Times New Roman" w:cs="Times New Roman"/>
          <w:sz w:val="24"/>
          <w:szCs w:val="24"/>
        </w:rPr>
        <w:t xml:space="preserve">, China. </w:t>
      </w:r>
      <w:r w:rsidR="000C3EF7" w:rsidRPr="00182D4F">
        <w:rPr>
          <w:rFonts w:ascii="Times New Roman" w:hAnsi="Times New Roman" w:cs="Times New Roman"/>
          <w:sz w:val="24"/>
          <w:szCs w:val="24"/>
        </w:rPr>
        <w:t>È stata riportata</w:t>
      </w:r>
      <w:r w:rsidR="007F6CE2" w:rsidRPr="00182D4F">
        <w:rPr>
          <w:rFonts w:ascii="Times New Roman" w:hAnsi="Times New Roman" w:cs="Times New Roman"/>
          <w:sz w:val="24"/>
          <w:szCs w:val="24"/>
        </w:rPr>
        <w:t>,</w:t>
      </w:r>
      <w:r w:rsidR="000C3EF7" w:rsidRPr="00182D4F">
        <w:rPr>
          <w:rFonts w:ascii="Times New Roman" w:hAnsi="Times New Roman" w:cs="Times New Roman"/>
          <w:sz w:val="24"/>
          <w:szCs w:val="24"/>
        </w:rPr>
        <w:t xml:space="preserve"> infatti</w:t>
      </w:r>
      <w:r w:rsidR="007F6CE2" w:rsidRPr="00182D4F">
        <w:rPr>
          <w:rFonts w:ascii="Times New Roman" w:hAnsi="Times New Roman" w:cs="Times New Roman"/>
          <w:sz w:val="24"/>
          <w:szCs w:val="24"/>
        </w:rPr>
        <w:t>,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una riduzione della mortalità </w:t>
      </w:r>
      <w:r w:rsidR="00D66130" w:rsidRPr="00182D4F">
        <w:rPr>
          <w:rFonts w:ascii="Times New Roman" w:hAnsi="Times New Roman" w:cs="Times New Roman"/>
          <w:sz w:val="24"/>
          <w:szCs w:val="24"/>
        </w:rPr>
        <w:t>a 28 giorni</w:t>
      </w:r>
      <w:r w:rsidR="00511B1C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sz w:val="24"/>
          <w:szCs w:val="24"/>
        </w:rPr>
        <w:t xml:space="preserve">nei 99 </w:t>
      </w:r>
      <w:r w:rsidR="00067101" w:rsidRPr="00182D4F">
        <w:rPr>
          <w:rFonts w:ascii="Times New Roman" w:hAnsi="Times New Roman" w:cs="Times New Roman"/>
          <w:sz w:val="24"/>
          <w:szCs w:val="24"/>
        </w:rPr>
        <w:t>pazienti</w:t>
      </w:r>
      <w:r w:rsidR="00D66130" w:rsidRPr="00182D4F">
        <w:rPr>
          <w:rFonts w:ascii="Times New Roman" w:hAnsi="Times New Roman" w:cs="Times New Roman"/>
          <w:sz w:val="24"/>
          <w:szCs w:val="24"/>
        </w:rPr>
        <w:t>, che presentavano coagulopatia</w:t>
      </w:r>
      <w:r w:rsidR="00511B1C" w:rsidRPr="00182D4F">
        <w:rPr>
          <w:rFonts w:ascii="Times New Roman" w:hAnsi="Times New Roman" w:cs="Times New Roman"/>
          <w:sz w:val="24"/>
          <w:szCs w:val="24"/>
        </w:rPr>
        <w:t xml:space="preserve"> severa indotta da sepsi (punteggio SIC ≥ 4)</w:t>
      </w:r>
      <w:r w:rsidR="00D66130" w:rsidRPr="00182D4F">
        <w:rPr>
          <w:rFonts w:ascii="Times New Roman" w:hAnsi="Times New Roman" w:cs="Times New Roman"/>
          <w:sz w:val="24"/>
          <w:szCs w:val="24"/>
        </w:rPr>
        <w:t>,</w:t>
      </w:r>
      <w:r w:rsidR="000C3EF7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067101" w:rsidRPr="00182D4F">
        <w:rPr>
          <w:rFonts w:ascii="Times New Roman" w:hAnsi="Times New Roman" w:cs="Times New Roman"/>
          <w:sz w:val="24"/>
          <w:szCs w:val="24"/>
        </w:rPr>
        <w:t>trattati</w:t>
      </w:r>
      <w:r w:rsidR="00E35562" w:rsidRPr="00182D4F">
        <w:rPr>
          <w:rFonts w:ascii="Times New Roman" w:hAnsi="Times New Roman" w:cs="Times New Roman"/>
          <w:sz w:val="24"/>
          <w:szCs w:val="24"/>
        </w:rPr>
        <w:t>,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="00E35562" w:rsidRPr="00182D4F">
        <w:rPr>
          <w:rFonts w:ascii="Times New Roman" w:hAnsi="Times New Roman" w:cs="Times New Roman"/>
          <w:sz w:val="24"/>
          <w:szCs w:val="24"/>
        </w:rPr>
        <w:t xml:space="preserve">in aggiunta alla terapia antivirale e alla terapia di supporto appropriata, 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con </w:t>
      </w:r>
      <w:proofErr w:type="spellStart"/>
      <w:r w:rsidR="00067101" w:rsidRPr="00182D4F">
        <w:rPr>
          <w:rFonts w:ascii="Times New Roman" w:hAnsi="Times New Roman" w:cs="Times New Roman"/>
          <w:sz w:val="24"/>
          <w:szCs w:val="24"/>
        </w:rPr>
        <w:t>enoxaparina</w:t>
      </w:r>
      <w:proofErr w:type="spellEnd"/>
      <w:r w:rsidR="00067101" w:rsidRPr="00182D4F">
        <w:rPr>
          <w:rFonts w:ascii="Times New Roman" w:hAnsi="Times New Roman" w:cs="Times New Roman"/>
          <w:sz w:val="24"/>
          <w:szCs w:val="24"/>
        </w:rPr>
        <w:t xml:space="preserve"> al dosaggio di 40-60 mg/die </w:t>
      </w:r>
      <w:r w:rsidR="00E35562" w:rsidRPr="00182D4F">
        <w:rPr>
          <w:rFonts w:ascii="Times New Roman" w:hAnsi="Times New Roman" w:cs="Times New Roman"/>
          <w:sz w:val="24"/>
          <w:szCs w:val="24"/>
        </w:rPr>
        <w:t xml:space="preserve">principalmente </w:t>
      </w:r>
      <w:r w:rsidR="00511B1C" w:rsidRPr="00182D4F">
        <w:rPr>
          <w:rFonts w:ascii="Times New Roman" w:hAnsi="Times New Roman" w:cs="Times New Roman"/>
          <w:sz w:val="24"/>
          <w:szCs w:val="24"/>
        </w:rPr>
        <w:t xml:space="preserve">(94 pazienti) </w:t>
      </w:r>
      <w:r w:rsidR="00067101" w:rsidRPr="00182D4F">
        <w:rPr>
          <w:rFonts w:ascii="Times New Roman" w:hAnsi="Times New Roman" w:cs="Times New Roman"/>
          <w:sz w:val="24"/>
          <w:szCs w:val="24"/>
        </w:rPr>
        <w:t>o eparina non frazionata al dosaggio di 10000-15000 U/die</w:t>
      </w:r>
      <w:r w:rsidR="00511B1C" w:rsidRPr="00182D4F">
        <w:rPr>
          <w:rFonts w:ascii="Times New Roman" w:hAnsi="Times New Roman" w:cs="Times New Roman"/>
          <w:sz w:val="24"/>
          <w:szCs w:val="24"/>
        </w:rPr>
        <w:t xml:space="preserve"> (5 pazienti)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per almeno 7 giorni</w:t>
      </w:r>
      <w:r w:rsidR="00511B1C" w:rsidRPr="00182D4F">
        <w:rPr>
          <w:rFonts w:ascii="Times New Roman" w:hAnsi="Times New Roman" w:cs="Times New Roman"/>
          <w:sz w:val="24"/>
          <w:szCs w:val="24"/>
        </w:rPr>
        <w:t>, rispetto a quelli non trattati (Mortalità: 40,0% vs 64,2%; P = 0,029)</w:t>
      </w:r>
      <w:r w:rsidR="00067101" w:rsidRPr="00182D4F">
        <w:rPr>
          <w:rFonts w:ascii="Times New Roman" w:hAnsi="Times New Roman" w:cs="Times New Roman"/>
          <w:sz w:val="24"/>
          <w:szCs w:val="24"/>
        </w:rPr>
        <w:t xml:space="preserve"> [2]. </w:t>
      </w:r>
    </w:p>
    <w:p w14:paraId="79D0CEFE" w14:textId="1888889E" w:rsidR="0074092D" w:rsidRPr="00182D4F" w:rsidRDefault="00067101" w:rsidP="007562C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Un ulteriore studio ha recentemente messo in evidenza che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le eparine a basso peso molecolare (LMWH) non solo migliorano la disfunzione coagulativa dei pazienti COVID-19, ma </w:t>
      </w:r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risultano </w:t>
      </w:r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lastRenderedPageBreak/>
        <w:t>anche utili</w:t>
      </w:r>
      <w:r w:rsidR="000C3EF7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nel</w:t>
      </w:r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mitigare la tempesta </w:t>
      </w:r>
      <w:proofErr w:type="spellStart"/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t>citochinica</w:t>
      </w:r>
      <w:proofErr w:type="spellEnd"/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che caratterizza la fase avanzata iper-infiammatoria della malattia</w:t>
      </w:r>
      <w:r w:rsidR="00AA71EB" w:rsidRPr="00182D4F">
        <w:rPr>
          <w:rFonts w:ascii="Times New Roman" w:hAnsi="Times New Roman" w:cs="Times New Roman"/>
          <w:sz w:val="24"/>
          <w:szCs w:val="24"/>
        </w:rPr>
        <w:t xml:space="preserve"> COVID-19, </w:t>
      </w:r>
      <w:r w:rsidRPr="00182D4F">
        <w:rPr>
          <w:rFonts w:ascii="Times New Roman" w:hAnsi="Times New Roman" w:cs="Times New Roman"/>
          <w:sz w:val="24"/>
          <w:szCs w:val="24"/>
        </w:rPr>
        <w:t xml:space="preserve">inducendo </w:t>
      </w:r>
      <w:r w:rsidR="00AA71EB" w:rsidRPr="00182D4F">
        <w:rPr>
          <w:rFonts w:ascii="Times New Roman" w:hAnsi="Times New Roman" w:cs="Times New Roman"/>
          <w:sz w:val="24"/>
          <w:szCs w:val="24"/>
        </w:rPr>
        <w:t xml:space="preserve">una </w:t>
      </w:r>
      <w:r w:rsidRPr="00182D4F">
        <w:rPr>
          <w:rFonts w:ascii="Times New Roman" w:hAnsi="Times New Roman" w:cs="Times New Roman"/>
          <w:sz w:val="24"/>
          <w:szCs w:val="24"/>
        </w:rPr>
        <w:t>riduzione dell'IL-6</w:t>
      </w:r>
      <w:r w:rsidR="00AA71EB" w:rsidRPr="00182D4F">
        <w:rPr>
          <w:rFonts w:ascii="Times New Roman" w:hAnsi="Times New Roman" w:cs="Times New Roman"/>
          <w:sz w:val="24"/>
          <w:szCs w:val="24"/>
        </w:rPr>
        <w:t xml:space="preserve">. Ne viene suggerito dunque </w:t>
      </w:r>
      <w:r w:rsidRPr="00182D4F">
        <w:rPr>
          <w:rFonts w:ascii="Times New Roman" w:hAnsi="Times New Roman" w:cs="Times New Roman"/>
          <w:sz w:val="24"/>
          <w:szCs w:val="24"/>
        </w:rPr>
        <w:t>un potenziale utilizzo non solo preventivo della complicazione di tromboembolismo venoso, ma anche terapeutico [</w:t>
      </w:r>
      <w:r w:rsidR="007C656F" w:rsidRPr="00182D4F">
        <w:rPr>
          <w:rFonts w:ascii="Times New Roman" w:hAnsi="Times New Roman" w:cs="Times New Roman"/>
          <w:sz w:val="24"/>
          <w:szCs w:val="24"/>
        </w:rPr>
        <w:t>5</w:t>
      </w:r>
      <w:r w:rsidRPr="00182D4F"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CDB9ADB" w14:textId="1FC020AF" w:rsidR="00121BD7" w:rsidRPr="00182D4F" w:rsidRDefault="00067101" w:rsidP="007C65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Sembra </w:t>
      </w:r>
      <w:r w:rsidR="007F6CE2" w:rsidRPr="00182D4F">
        <w:rPr>
          <w:rFonts w:ascii="Times New Roman" w:hAnsi="Times New Roman" w:cs="Times New Roman"/>
          <w:sz w:val="24"/>
          <w:szCs w:val="24"/>
        </w:rPr>
        <w:t>dunque</w:t>
      </w:r>
      <w:r w:rsidRPr="00182D4F">
        <w:rPr>
          <w:rFonts w:ascii="Times New Roman" w:hAnsi="Times New Roman" w:cs="Times New Roman"/>
          <w:sz w:val="24"/>
          <w:szCs w:val="24"/>
        </w:rPr>
        <w:t xml:space="preserve"> che ci siano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diversi </w:t>
      </w:r>
      <w:r w:rsidR="007F6CE2" w:rsidRPr="003E49CF">
        <w:rPr>
          <w:rFonts w:ascii="Times New Roman" w:hAnsi="Times New Roman" w:cs="Times New Roman"/>
          <w:b/>
          <w:bCs/>
          <w:sz w:val="24"/>
          <w:szCs w:val="24"/>
        </w:rPr>
        <w:t>effetti benefici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F6CE2" w:rsidRPr="003E49CF">
        <w:rPr>
          <w:rFonts w:ascii="Times New Roman" w:hAnsi="Times New Roman" w:cs="Times New Roman"/>
          <w:b/>
          <w:bCs/>
          <w:sz w:val="24"/>
          <w:szCs w:val="24"/>
        </w:rPr>
        <w:t>attraverso cui l</w:t>
      </w:r>
      <w:r w:rsidR="003E49CF" w:rsidRPr="003E49C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eparina p</w:t>
      </w:r>
      <w:r w:rsidR="00AA71EB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ossa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rivelarsi utile in </w:t>
      </w:r>
      <w:r w:rsidR="000C3EF7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pazienti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COVID-19</w:t>
      </w:r>
      <w:r w:rsidR="003E49CF">
        <w:rPr>
          <w:rFonts w:ascii="Times New Roman" w:hAnsi="Times New Roman" w:cs="Times New Roman"/>
          <w:b/>
          <w:bCs/>
          <w:sz w:val="24"/>
          <w:szCs w:val="24"/>
        </w:rPr>
        <w:t xml:space="preserve"> positivi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>, grazie alle sue capacità anticoagulanti e non</w:t>
      </w:r>
      <w:r w:rsidR="0074092D" w:rsidRPr="00182D4F">
        <w:rPr>
          <w:rFonts w:ascii="Times New Roman" w:hAnsi="Times New Roman" w:cs="Times New Roman"/>
          <w:sz w:val="24"/>
          <w:szCs w:val="24"/>
        </w:rPr>
        <w:t>. Queste ultime includono</w:t>
      </w:r>
      <w:r w:rsidR="000C3EF7" w:rsidRPr="00182D4F">
        <w:rPr>
          <w:rFonts w:ascii="Times New Roman" w:hAnsi="Times New Roman" w:cs="Times New Roman"/>
          <w:sz w:val="24"/>
          <w:szCs w:val="24"/>
        </w:rPr>
        <w:t xml:space="preserve"> le suddette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 proprietà </w:t>
      </w:r>
      <w:r w:rsidRPr="00182D4F">
        <w:rPr>
          <w:rFonts w:ascii="Times New Roman" w:hAnsi="Times New Roman" w:cs="Times New Roman"/>
          <w:sz w:val="24"/>
          <w:szCs w:val="24"/>
        </w:rPr>
        <w:t>antinfiammatori</w:t>
      </w:r>
      <w:r w:rsidR="0074092D" w:rsidRPr="00182D4F">
        <w:rPr>
          <w:rFonts w:ascii="Times New Roman" w:hAnsi="Times New Roman" w:cs="Times New Roman"/>
          <w:sz w:val="24"/>
          <w:szCs w:val="24"/>
        </w:rPr>
        <w:t>e</w:t>
      </w:r>
      <w:r w:rsidR="00121BD7" w:rsidRPr="00182D4F">
        <w:rPr>
          <w:rFonts w:ascii="Times New Roman" w:hAnsi="Times New Roman" w:cs="Times New Roman"/>
          <w:sz w:val="24"/>
          <w:szCs w:val="24"/>
        </w:rPr>
        <w:t xml:space="preserve">, 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le </w:t>
      </w:r>
      <w:r w:rsidR="000C3EF7" w:rsidRPr="00182D4F">
        <w:rPr>
          <w:rFonts w:ascii="Times New Roman" w:hAnsi="Times New Roman" w:cs="Times New Roman"/>
          <w:sz w:val="24"/>
          <w:szCs w:val="24"/>
        </w:rPr>
        <w:t xml:space="preserve">capacità </w:t>
      </w:r>
      <w:r w:rsidR="0074092D" w:rsidRPr="00182D4F">
        <w:rPr>
          <w:rFonts w:ascii="Times New Roman" w:hAnsi="Times New Roman" w:cs="Times New Roman"/>
          <w:sz w:val="24"/>
          <w:szCs w:val="24"/>
        </w:rPr>
        <w:t>di protezione endoteliale</w:t>
      </w:r>
      <w:r w:rsidR="00121BD7" w:rsidRPr="00182D4F">
        <w:rPr>
          <w:rFonts w:ascii="Times New Roman" w:hAnsi="Times New Roman" w:cs="Times New Roman"/>
          <w:sz w:val="24"/>
          <w:szCs w:val="24"/>
        </w:rPr>
        <w:t xml:space="preserve"> e non solo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121BD7" w:rsidRPr="00182D4F">
        <w:rPr>
          <w:rFonts w:ascii="Times New Roman" w:hAnsi="Times New Roman" w:cs="Times New Roman"/>
          <w:sz w:val="24"/>
          <w:szCs w:val="24"/>
        </w:rPr>
        <w:t xml:space="preserve">È 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stata </w:t>
      </w:r>
      <w:r w:rsidR="00121BD7" w:rsidRPr="00182D4F">
        <w:rPr>
          <w:rFonts w:ascii="Times New Roman" w:hAnsi="Times New Roman" w:cs="Times New Roman"/>
          <w:sz w:val="24"/>
          <w:szCs w:val="24"/>
        </w:rPr>
        <w:t xml:space="preserve">infatti 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>ipotizzata anche una</w:t>
      </w:r>
      <w:r w:rsidR="00121BD7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sua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1BD7" w:rsidRPr="003E49CF">
        <w:rPr>
          <w:rFonts w:ascii="Times New Roman" w:hAnsi="Times New Roman" w:cs="Times New Roman"/>
          <w:b/>
          <w:bCs/>
          <w:sz w:val="24"/>
          <w:szCs w:val="24"/>
        </w:rPr>
        <w:t>possibile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 attività antivirale</w:t>
      </w:r>
      <w:r w:rsidR="00121BD7" w:rsidRPr="00182D4F">
        <w:rPr>
          <w:rFonts w:ascii="Times New Roman" w:hAnsi="Times New Roman" w:cs="Times New Roman"/>
          <w:sz w:val="24"/>
          <w:szCs w:val="24"/>
        </w:rPr>
        <w:t xml:space="preserve"> che risulta particolarmente interessante.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Tale ipotesi emerge da modelli sperimentali. Sembrerebbe infatti che l</w:t>
      </w:r>
      <w:r w:rsidR="003E49CF">
        <w:rPr>
          <w:rFonts w:ascii="Times New Roman" w:hAnsi="Times New Roman" w:cs="Times New Roman"/>
          <w:sz w:val="24"/>
          <w:szCs w:val="24"/>
        </w:rPr>
        <w:t>’</w:t>
      </w:r>
      <w:r w:rsidR="001774EB" w:rsidRPr="00182D4F">
        <w:rPr>
          <w:rFonts w:ascii="Times New Roman" w:hAnsi="Times New Roman" w:cs="Times New Roman"/>
          <w:sz w:val="24"/>
          <w:szCs w:val="24"/>
        </w:rPr>
        <w:t>eparina grazie alla sua natura poli</w:t>
      </w:r>
      <w:r w:rsidR="003408E8" w:rsidRPr="00182D4F">
        <w:rPr>
          <w:rFonts w:ascii="Times New Roman" w:hAnsi="Times New Roman" w:cs="Times New Roman"/>
          <w:sz w:val="24"/>
          <w:szCs w:val="24"/>
        </w:rPr>
        <w:t>-</w:t>
      </w:r>
      <w:r w:rsidR="001774EB" w:rsidRPr="00182D4F">
        <w:rPr>
          <w:rFonts w:ascii="Times New Roman" w:hAnsi="Times New Roman" w:cs="Times New Roman"/>
          <w:sz w:val="24"/>
          <w:szCs w:val="24"/>
        </w:rPr>
        <w:t>anionica risulti capace di legarsi a proteine responsabili dell</w:t>
      </w:r>
      <w:r w:rsidR="003E49CF">
        <w:rPr>
          <w:rFonts w:ascii="Times New Roman" w:hAnsi="Times New Roman" w:cs="Times New Roman"/>
          <w:sz w:val="24"/>
          <w:szCs w:val="24"/>
        </w:rPr>
        <w:t>’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attaccamento virale cui il SARS-CoV-2 aderisce prima di penetrare nella cellula. </w:t>
      </w:r>
      <w:r w:rsidR="007C656F" w:rsidRPr="00182D4F">
        <w:rPr>
          <w:rFonts w:ascii="Times New Roman" w:hAnsi="Times New Roman" w:cs="Times New Roman"/>
          <w:sz w:val="24"/>
          <w:szCs w:val="24"/>
        </w:rPr>
        <w:t>Tuttavia</w:t>
      </w:r>
      <w:r w:rsidR="003E49CF">
        <w:rPr>
          <w:rFonts w:ascii="Times New Roman" w:hAnsi="Times New Roman" w:cs="Times New Roman"/>
          <w:sz w:val="24"/>
          <w:szCs w:val="24"/>
        </w:rPr>
        <w:t>,</w:t>
      </w:r>
      <w:r w:rsidR="007C656F" w:rsidRPr="00182D4F">
        <w:rPr>
          <w:rFonts w:ascii="Times New Roman" w:hAnsi="Times New Roman" w:cs="Times New Roman"/>
          <w:sz w:val="24"/>
          <w:szCs w:val="24"/>
        </w:rPr>
        <w:t xml:space="preserve"> i benefici clinici reali devono ancora essere determinati. </w:t>
      </w:r>
    </w:p>
    <w:p w14:paraId="1BA67AD3" w14:textId="01606D2A" w:rsidR="00121BD7" w:rsidRPr="00182D4F" w:rsidRDefault="00121BD7" w:rsidP="00732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>In conclusione</w:t>
      </w:r>
      <w:r w:rsidR="003E49CF">
        <w:rPr>
          <w:rFonts w:ascii="Times New Roman" w:hAnsi="Times New Roman" w:cs="Times New Roman"/>
          <w:sz w:val="24"/>
          <w:szCs w:val="24"/>
        </w:rPr>
        <w:t>,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le </w:t>
      </w:r>
      <w:r w:rsidR="0074092D" w:rsidRPr="00182D4F">
        <w:rPr>
          <w:rFonts w:ascii="Times New Roman" w:hAnsi="Times New Roman" w:cs="Times New Roman"/>
          <w:sz w:val="24"/>
          <w:szCs w:val="24"/>
        </w:rPr>
        <w:t>proprietà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dell’eparina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sz w:val="24"/>
          <w:szCs w:val="24"/>
        </w:rPr>
        <w:t>consentirebbero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in pazienti affetti da </w:t>
      </w:r>
      <w:r w:rsidR="003E49CF">
        <w:rPr>
          <w:rFonts w:ascii="Times New Roman" w:hAnsi="Times New Roman" w:cs="Times New Roman"/>
          <w:sz w:val="24"/>
          <w:szCs w:val="24"/>
        </w:rPr>
        <w:t>SARS-CoV-2</w:t>
      </w:r>
      <w:r w:rsidRPr="00182D4F">
        <w:rPr>
          <w:rFonts w:ascii="Times New Roman" w:hAnsi="Times New Roman" w:cs="Times New Roman"/>
          <w:sz w:val="24"/>
          <w:szCs w:val="24"/>
        </w:rPr>
        <w:t>:</w:t>
      </w:r>
    </w:p>
    <w:p w14:paraId="35755839" w14:textId="5596D5A9" w:rsidR="00CD1AD9" w:rsidRPr="00182D4F" w:rsidRDefault="00121BD7" w:rsidP="00732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>-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 a livello polmonare</w:t>
      </w:r>
      <w:r w:rsidRPr="00182D4F">
        <w:rPr>
          <w:rFonts w:ascii="Times New Roman" w:hAnsi="Times New Roman" w:cs="Times New Roman"/>
          <w:sz w:val="24"/>
          <w:szCs w:val="24"/>
        </w:rPr>
        <w:t>,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l’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>inibizione dell’infiammazione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, 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>della formazione di trombi</w:t>
      </w:r>
      <w:r w:rsidR="0074092D" w:rsidRPr="00182D4F">
        <w:rPr>
          <w:rFonts w:ascii="Times New Roman" w:hAnsi="Times New Roman" w:cs="Times New Roman"/>
          <w:sz w:val="24"/>
          <w:szCs w:val="24"/>
        </w:rPr>
        <w:t xml:space="preserve"> e </w:t>
      </w:r>
      <w:r w:rsidR="0074092D" w:rsidRPr="003E49CF">
        <w:rPr>
          <w:rFonts w:ascii="Times New Roman" w:hAnsi="Times New Roman" w:cs="Times New Roman"/>
          <w:b/>
          <w:bCs/>
          <w:sz w:val="24"/>
          <w:szCs w:val="24"/>
        </w:rPr>
        <w:t>dello sviluppo di ARDS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(in quanto l’attivazione del sistema di coagulazione risulta rilevante </w:t>
      </w:r>
      <w:r w:rsidR="003408E8" w:rsidRPr="00182D4F">
        <w:rPr>
          <w:rFonts w:ascii="Times New Roman" w:hAnsi="Times New Roman" w:cs="Times New Roman"/>
          <w:sz w:val="24"/>
          <w:szCs w:val="24"/>
        </w:rPr>
        <w:t>nella patogenesi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 di quest’ultima </w:t>
      </w:r>
      <w:r w:rsidR="003408E8" w:rsidRPr="00182D4F">
        <w:rPr>
          <w:rFonts w:ascii="Times New Roman" w:hAnsi="Times New Roman" w:cs="Times New Roman"/>
          <w:sz w:val="24"/>
          <w:szCs w:val="24"/>
        </w:rPr>
        <w:t xml:space="preserve">grave 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complicazione </w:t>
      </w:r>
      <w:r w:rsidR="003408E8" w:rsidRPr="00182D4F">
        <w:rPr>
          <w:rFonts w:ascii="Times New Roman" w:hAnsi="Times New Roman" w:cs="Times New Roman"/>
          <w:sz w:val="24"/>
          <w:szCs w:val="24"/>
        </w:rPr>
        <w:t>respiratoria)</w:t>
      </w:r>
    </w:p>
    <w:p w14:paraId="024F656B" w14:textId="29D6C30B" w:rsidR="00121BD7" w:rsidRPr="00182D4F" w:rsidRDefault="00121BD7" w:rsidP="00732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- </w:t>
      </w:r>
      <w:r w:rsidR="001774EB" w:rsidRPr="00182D4F">
        <w:rPr>
          <w:rFonts w:ascii="Times New Roman" w:hAnsi="Times New Roman" w:cs="Times New Roman"/>
          <w:sz w:val="24"/>
          <w:szCs w:val="24"/>
        </w:rPr>
        <w:t xml:space="preserve">a </w:t>
      </w:r>
      <w:r w:rsidRPr="00182D4F">
        <w:rPr>
          <w:rFonts w:ascii="Times New Roman" w:hAnsi="Times New Roman" w:cs="Times New Roman"/>
          <w:sz w:val="24"/>
          <w:szCs w:val="24"/>
        </w:rPr>
        <w:t xml:space="preserve">livello cardiaco, una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riduzione della formazione di trombi</w:t>
      </w:r>
      <w:r w:rsidRPr="00182D4F">
        <w:rPr>
          <w:rFonts w:ascii="Times New Roman" w:hAnsi="Times New Roman" w:cs="Times New Roman"/>
          <w:sz w:val="24"/>
          <w:szCs w:val="24"/>
        </w:rPr>
        <w:t xml:space="preserve"> coronarici ed intracardiaci, potenziali effetti benefici inibendo lo sviluppo di miocarditi e cardiomiopatie</w:t>
      </w:r>
    </w:p>
    <w:p w14:paraId="46CC51CC" w14:textId="6891FA87" w:rsidR="00121BD7" w:rsidRPr="00182D4F" w:rsidRDefault="00121BD7" w:rsidP="00732A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- a livello vascolare, una potenziale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 xml:space="preserve">riduzione dei processi di ischemia </w:t>
      </w:r>
      <w:proofErr w:type="spellStart"/>
      <w:r w:rsidRPr="003E49CF">
        <w:rPr>
          <w:rFonts w:ascii="Times New Roman" w:hAnsi="Times New Roman" w:cs="Times New Roman"/>
          <w:b/>
          <w:bCs/>
          <w:sz w:val="24"/>
          <w:szCs w:val="24"/>
        </w:rPr>
        <w:t>microvascolare</w:t>
      </w:r>
      <w:proofErr w:type="spellEnd"/>
      <w:r w:rsidRPr="00182D4F">
        <w:rPr>
          <w:rFonts w:ascii="Times New Roman" w:hAnsi="Times New Roman" w:cs="Times New Roman"/>
          <w:sz w:val="24"/>
          <w:szCs w:val="24"/>
        </w:rPr>
        <w:t xml:space="preserve"> e potenziali effetti benefici sulla disfunzione multiorgano</w:t>
      </w:r>
      <w:r w:rsidR="007C656F" w:rsidRPr="00182D4F">
        <w:rPr>
          <w:rFonts w:ascii="Times New Roman" w:hAnsi="Times New Roman" w:cs="Times New Roman"/>
          <w:sz w:val="24"/>
          <w:szCs w:val="24"/>
        </w:rPr>
        <w:t xml:space="preserve"> [6].</w:t>
      </w:r>
    </w:p>
    <w:p w14:paraId="2AA3CE15" w14:textId="77777777" w:rsidR="003E49CF" w:rsidRDefault="000C3EF7" w:rsidP="003E4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 xml:space="preserve">Pertanto, nell’ambito della gestione di pazienti critici con COVID-19, la World </w:t>
      </w:r>
      <w:proofErr w:type="spellStart"/>
      <w:r w:rsidRPr="00182D4F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182D4F">
        <w:rPr>
          <w:rFonts w:ascii="Times New Roman" w:hAnsi="Times New Roman" w:cs="Times New Roman"/>
          <w:sz w:val="24"/>
          <w:szCs w:val="24"/>
        </w:rPr>
        <w:t xml:space="preserve"> Organization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(WHO) raccomanda di prevenire la complicazione di tromboembolismo venoso</w:t>
      </w:r>
      <w:r w:rsidRPr="00182D4F">
        <w:rPr>
          <w:rFonts w:ascii="Times New Roman" w:hAnsi="Times New Roman" w:cs="Times New Roman"/>
          <w:sz w:val="24"/>
          <w:szCs w:val="24"/>
        </w:rPr>
        <w:t>, facendo ricorso alla profilassi farmacologica, in adolescenti e adulti senza controindicazioni, o a quella meccanica (attraverso l’utilizzo di dispositivi a compressione pneumatica intermittente) in pazienti con controindicazioni. In particolare, per la profilassi farmacologica, la WHO raccomanda di somministrare 5000 unità di eparina a basso peso molecolare [da preferire se disponibile] o eparina per via sottocutanea due volte al giorno</w:t>
      </w:r>
      <w:r w:rsidRPr="00182D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2D4F">
        <w:rPr>
          <w:rFonts w:ascii="Times New Roman" w:hAnsi="Times New Roman" w:cs="Times New Roman"/>
          <w:sz w:val="24"/>
          <w:szCs w:val="24"/>
        </w:rPr>
        <w:t>[1].</w:t>
      </w:r>
    </w:p>
    <w:p w14:paraId="1177BEC4" w14:textId="6AC9FB6B" w:rsidR="000918B0" w:rsidRPr="003E49CF" w:rsidRDefault="00A545D3" w:rsidP="003E49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br/>
      </w:r>
      <w:r w:rsidR="008D2F44" w:rsidRPr="00182D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Focus su </w:t>
      </w:r>
      <w:proofErr w:type="spellStart"/>
      <w:r w:rsidR="008D2F44" w:rsidRPr="00182D4F">
        <w:rPr>
          <w:rFonts w:ascii="Times New Roman" w:hAnsi="Times New Roman" w:cs="Times New Roman"/>
          <w:b/>
          <w:bCs/>
          <w:sz w:val="24"/>
          <w:szCs w:val="24"/>
          <w:u w:val="single"/>
        </w:rPr>
        <w:t>enoxaparina</w:t>
      </w:r>
      <w:proofErr w:type="spellEnd"/>
    </w:p>
    <w:p w14:paraId="3C5B47C3" w14:textId="77777777" w:rsidR="003E49CF" w:rsidRDefault="008D2F44" w:rsidP="008D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>L’</w:t>
      </w:r>
      <w:proofErr w:type="spellStart"/>
      <w:r w:rsidRPr="00182D4F">
        <w:rPr>
          <w:rFonts w:ascii="Times New Roman" w:hAnsi="Times New Roman" w:cs="Times New Roman"/>
          <w:sz w:val="24"/>
          <w:szCs w:val="24"/>
        </w:rPr>
        <w:t>enoxaparina</w:t>
      </w:r>
      <w:proofErr w:type="spellEnd"/>
      <w:r w:rsidRPr="00182D4F">
        <w:rPr>
          <w:rFonts w:ascii="Times New Roman" w:hAnsi="Times New Roman" w:cs="Times New Roman"/>
          <w:sz w:val="24"/>
          <w:szCs w:val="24"/>
        </w:rPr>
        <w:t xml:space="preserve"> sodica è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un</w:t>
      </w:r>
      <w:r w:rsidR="003E49CF" w:rsidRPr="003E49CF">
        <w:rPr>
          <w:rFonts w:ascii="Times New Roman" w:hAnsi="Times New Roman" w:cs="Times New Roman"/>
          <w:b/>
          <w:bCs/>
          <w:sz w:val="24"/>
          <w:szCs w:val="24"/>
        </w:rPr>
        <w:t>’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eparina a basso peso molecolare</w:t>
      </w:r>
      <w:r w:rsidRPr="00182D4F">
        <w:rPr>
          <w:rFonts w:ascii="Times New Roman" w:hAnsi="Times New Roman" w:cs="Times New Roman"/>
          <w:sz w:val="24"/>
          <w:szCs w:val="24"/>
        </w:rPr>
        <w:t xml:space="preserve"> (p.m.), dotata di una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spiccata attività antitrombotica</w:t>
      </w:r>
      <w:r w:rsidRPr="00182D4F">
        <w:rPr>
          <w:rFonts w:ascii="Times New Roman" w:hAnsi="Times New Roman" w:cs="Times New Roman"/>
          <w:sz w:val="24"/>
          <w:szCs w:val="24"/>
        </w:rPr>
        <w:t xml:space="preserve">. 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Per la sua efficacia anticoagulante, è autorizzata e di norma impiegata nella </w:t>
      </w:r>
      <w:r w:rsidR="007F6CE2" w:rsidRPr="003E49CF">
        <w:rPr>
          <w:rFonts w:ascii="Times New Roman" w:hAnsi="Times New Roman" w:cs="Times New Roman"/>
          <w:b/>
          <w:bCs/>
          <w:sz w:val="24"/>
          <w:szCs w:val="24"/>
        </w:rPr>
        <w:t>profilassi del tromboembolismo venoso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 (TEV), in particolare nei pazienti sottoposti a chirurgia o affetti da una patologia acuta (come ad esempio insufficienza cardiaca acuta, insufficienza respiratoria, infezioni gravi o malattie reumatiche) e mobilità ridotta ad aumentato rischio di tromboembolismo venoso; </w:t>
      </w:r>
      <w:r w:rsidR="007F6CE2" w:rsidRPr="003E49CF">
        <w:rPr>
          <w:rFonts w:ascii="Times New Roman" w:hAnsi="Times New Roman" w:cs="Times New Roman"/>
          <w:b/>
          <w:bCs/>
          <w:sz w:val="24"/>
          <w:szCs w:val="24"/>
        </w:rPr>
        <w:t>nel trattamento della trombosi venosa profonda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 (TVP) e dell’</w:t>
      </w:r>
      <w:r w:rsidR="007F6CE2" w:rsidRPr="003E49CF">
        <w:rPr>
          <w:rFonts w:ascii="Times New Roman" w:hAnsi="Times New Roman" w:cs="Times New Roman"/>
          <w:b/>
          <w:bCs/>
          <w:sz w:val="24"/>
          <w:szCs w:val="24"/>
        </w:rPr>
        <w:t>embolia polmonare</w:t>
      </w:r>
      <w:r w:rsidR="007F6CE2" w:rsidRPr="00182D4F">
        <w:rPr>
          <w:rFonts w:ascii="Times New Roman" w:hAnsi="Times New Roman" w:cs="Times New Roman"/>
          <w:sz w:val="24"/>
          <w:szCs w:val="24"/>
        </w:rPr>
        <w:t xml:space="preserve"> (EP) e in pazienti con Sindrome coronarica acuta [7]. </w:t>
      </w:r>
    </w:p>
    <w:p w14:paraId="4CAA6541" w14:textId="010C5FDF" w:rsidR="008D2F44" w:rsidRPr="00182D4F" w:rsidRDefault="008D2F44" w:rsidP="008D2F4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D4F">
        <w:rPr>
          <w:rFonts w:ascii="Times New Roman" w:hAnsi="Times New Roman" w:cs="Times New Roman"/>
          <w:sz w:val="24"/>
          <w:szCs w:val="24"/>
        </w:rPr>
        <w:t>Rispetto all’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eparina standard</w:t>
      </w:r>
      <w:r w:rsidRPr="00182D4F">
        <w:rPr>
          <w:rFonts w:ascii="Times New Roman" w:hAnsi="Times New Roman" w:cs="Times New Roman"/>
          <w:sz w:val="24"/>
          <w:szCs w:val="24"/>
        </w:rPr>
        <w:t xml:space="preserve">, che risulta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meno maneggevole</w:t>
      </w:r>
      <w:r w:rsidRPr="00182D4F">
        <w:rPr>
          <w:rFonts w:ascii="Times New Roman" w:hAnsi="Times New Roman" w:cs="Times New Roman"/>
          <w:sz w:val="24"/>
          <w:szCs w:val="24"/>
        </w:rPr>
        <w:t xml:space="preserve"> perché caratterizzata d</w:t>
      </w:r>
      <w:r w:rsidR="00A545D3">
        <w:rPr>
          <w:rFonts w:ascii="Times New Roman" w:hAnsi="Times New Roman" w:cs="Times New Roman"/>
          <w:sz w:val="24"/>
          <w:szCs w:val="24"/>
        </w:rPr>
        <w:t>à</w:t>
      </w:r>
      <w:r w:rsidRPr="00182D4F">
        <w:rPr>
          <w:rFonts w:ascii="Times New Roman" w:hAnsi="Times New Roman" w:cs="Times New Roman"/>
          <w:sz w:val="24"/>
          <w:szCs w:val="24"/>
        </w:rPr>
        <w:t xml:space="preserve"> una risposta anticoagulante variabile,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non lineare</w:t>
      </w:r>
      <w:r w:rsidRPr="00182D4F">
        <w:rPr>
          <w:rFonts w:ascii="Times New Roman" w:hAnsi="Times New Roman" w:cs="Times New Roman"/>
          <w:sz w:val="24"/>
          <w:szCs w:val="24"/>
        </w:rPr>
        <w:t xml:space="preserve">, dalla possibile comparsa di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fenomeni di resistenza</w:t>
      </w:r>
      <w:r w:rsidRPr="00182D4F">
        <w:rPr>
          <w:rFonts w:ascii="Times New Roman" w:hAnsi="Times New Roman" w:cs="Times New Roman"/>
          <w:sz w:val="24"/>
          <w:szCs w:val="24"/>
        </w:rPr>
        <w:t xml:space="preserve"> e che necessita quindi di un monitoraggio costante,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le eparine a basso p.m. risultano più vantaggiose</w:t>
      </w:r>
      <w:r w:rsidRPr="00182D4F">
        <w:rPr>
          <w:rFonts w:ascii="Times New Roman" w:hAnsi="Times New Roman" w:cs="Times New Roman"/>
          <w:sz w:val="24"/>
          <w:szCs w:val="24"/>
        </w:rPr>
        <w:t xml:space="preserve"> poiché inducono una risposta anticoagulante più prevedibile che non richiede stretto monitoraggio. Inoltre, queste ultime sono caratterizzate da </w:t>
      </w:r>
      <w:r w:rsidRPr="003E49CF">
        <w:rPr>
          <w:rFonts w:ascii="Times New Roman" w:hAnsi="Times New Roman" w:cs="Times New Roman"/>
          <w:sz w:val="24"/>
          <w:szCs w:val="24"/>
        </w:rPr>
        <w:t>u</w:t>
      </w:r>
      <w:r w:rsidR="003E49CF" w:rsidRPr="003E49CF">
        <w:rPr>
          <w:rFonts w:ascii="Times New Roman" w:hAnsi="Times New Roman" w:cs="Times New Roman"/>
          <w:sz w:val="24"/>
          <w:szCs w:val="24"/>
        </w:rPr>
        <w:t>na</w:t>
      </w:r>
      <w:r w:rsidR="003E49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emivita più lunga</w:t>
      </w:r>
      <w:r w:rsidRPr="00182D4F">
        <w:rPr>
          <w:rFonts w:ascii="Times New Roman" w:hAnsi="Times New Roman" w:cs="Times New Roman"/>
          <w:sz w:val="24"/>
          <w:szCs w:val="24"/>
        </w:rPr>
        <w:t xml:space="preserve"> e una </w:t>
      </w:r>
      <w:r w:rsidRPr="003E49CF">
        <w:rPr>
          <w:rFonts w:ascii="Times New Roman" w:hAnsi="Times New Roman" w:cs="Times New Roman"/>
          <w:b/>
          <w:bCs/>
          <w:sz w:val="24"/>
          <w:szCs w:val="24"/>
        </w:rPr>
        <w:t>maggiore biodisponibilità</w:t>
      </w:r>
      <w:r w:rsidRPr="00182D4F">
        <w:rPr>
          <w:rFonts w:ascii="Times New Roman" w:hAnsi="Times New Roman" w:cs="Times New Roman"/>
          <w:sz w:val="24"/>
          <w:szCs w:val="24"/>
        </w:rPr>
        <w:t xml:space="preserve"> a dosi più basse rispetto all’eparina standard. Tra le eparine a basso p.m. disponibili, l’</w:t>
      </w:r>
      <w:proofErr w:type="spellStart"/>
      <w:r w:rsidRPr="00182D4F">
        <w:rPr>
          <w:rFonts w:ascii="Times New Roman" w:hAnsi="Times New Roman" w:cs="Times New Roman"/>
          <w:sz w:val="24"/>
          <w:szCs w:val="24"/>
        </w:rPr>
        <w:t>enoxaparina</w:t>
      </w:r>
      <w:proofErr w:type="spellEnd"/>
      <w:r w:rsidRPr="00182D4F">
        <w:rPr>
          <w:rFonts w:ascii="Times New Roman" w:hAnsi="Times New Roman" w:cs="Times New Roman"/>
          <w:sz w:val="24"/>
          <w:szCs w:val="24"/>
        </w:rPr>
        <w:t xml:space="preserve"> sodica risulta quella caratterizzata dall’emivita di eliminazione più lunga, pari a circa 7 ore</w:t>
      </w:r>
      <w:r w:rsidR="007C656F" w:rsidRPr="00182D4F">
        <w:rPr>
          <w:rFonts w:ascii="Times New Roman" w:hAnsi="Times New Roman" w:cs="Times New Roman"/>
          <w:sz w:val="24"/>
          <w:szCs w:val="24"/>
        </w:rPr>
        <w:t xml:space="preserve"> [</w:t>
      </w:r>
      <w:r w:rsidR="007F6CE2" w:rsidRPr="00182D4F">
        <w:rPr>
          <w:rFonts w:ascii="Times New Roman" w:hAnsi="Times New Roman" w:cs="Times New Roman"/>
          <w:sz w:val="24"/>
          <w:szCs w:val="24"/>
        </w:rPr>
        <w:t>8</w:t>
      </w:r>
      <w:r w:rsidR="007C656F" w:rsidRPr="00182D4F">
        <w:rPr>
          <w:rFonts w:ascii="Times New Roman" w:hAnsi="Times New Roman" w:cs="Times New Roman"/>
          <w:sz w:val="24"/>
          <w:szCs w:val="24"/>
        </w:rPr>
        <w:t>]</w:t>
      </w:r>
      <w:r w:rsidRPr="00182D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3B3401" w14:textId="0346BA8C" w:rsidR="007F6CE2" w:rsidRPr="00182D4F" w:rsidRDefault="007F6CE2" w:rsidP="007F6CE2">
      <w:pPr>
        <w:jc w:val="both"/>
        <w:rPr>
          <w:rFonts w:ascii="Times New Roman" w:hAnsi="Times New Roman" w:cs="Times New Roman"/>
          <w:i/>
          <w:iCs/>
          <w:sz w:val="18"/>
          <w:szCs w:val="18"/>
          <w:u w:val="single"/>
        </w:rPr>
      </w:pPr>
    </w:p>
    <w:p w14:paraId="64CE1CFD" w14:textId="46779F44" w:rsidR="000918B0" w:rsidRPr="00182D4F" w:rsidRDefault="000918B0" w:rsidP="000918B0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182D4F">
        <w:rPr>
          <w:rFonts w:ascii="Times New Roman" w:hAnsi="Times New Roman" w:cs="Times New Roman"/>
          <w:b/>
          <w:bCs/>
          <w:sz w:val="18"/>
          <w:szCs w:val="18"/>
        </w:rPr>
        <w:t>Bibliografia e sitografia</w:t>
      </w:r>
    </w:p>
    <w:p w14:paraId="1BC9B5D4" w14:textId="402F5106" w:rsidR="000918B0" w:rsidRPr="00182D4F" w:rsidRDefault="000918B0" w:rsidP="00A97DAB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82D4F">
        <w:rPr>
          <w:rFonts w:ascii="Times New Roman" w:hAnsi="Times New Roman" w:cs="Times New Roman"/>
          <w:sz w:val="18"/>
          <w:szCs w:val="18"/>
        </w:rPr>
        <w:t>[1]</w:t>
      </w:r>
      <w:r w:rsidR="00407788" w:rsidRPr="00182D4F">
        <w:rPr>
          <w:rFonts w:ascii="Times New Roman" w:hAnsi="Times New Roman" w:cs="Times New Roman"/>
          <w:sz w:val="18"/>
          <w:szCs w:val="18"/>
        </w:rPr>
        <w:t xml:space="preserve"> </w:t>
      </w:r>
      <w:r w:rsidRPr="00182D4F">
        <w:rPr>
          <w:rFonts w:ascii="Times New Roman" w:hAnsi="Times New Roman" w:cs="Times New Roman"/>
          <w:sz w:val="18"/>
          <w:szCs w:val="18"/>
        </w:rPr>
        <w:t xml:space="preserve">https://www.who.int/publications-detail/clinical-management-of-severe-acute-respiratory-infection-when-novel-coronavirus-(ncov)-infection-is-suspected. </w:t>
      </w:r>
      <w:r w:rsidRPr="00182D4F">
        <w:rPr>
          <w:rFonts w:ascii="Times New Roman" w:hAnsi="Times New Roman" w:cs="Times New Roman"/>
          <w:sz w:val="18"/>
          <w:szCs w:val="18"/>
          <w:lang w:val="en-GB"/>
        </w:rPr>
        <w:t>Last access:08-04-2020</w:t>
      </w:r>
    </w:p>
    <w:p w14:paraId="778D8C49" w14:textId="106BDF45" w:rsidR="00A97DAB" w:rsidRPr="00182D4F" w:rsidRDefault="00A97DAB" w:rsidP="00A97DAB">
      <w:pPr>
        <w:jc w:val="both"/>
        <w:rPr>
          <w:rFonts w:ascii="Times New Roman" w:hAnsi="Times New Roman" w:cs="Times New Roman"/>
          <w:sz w:val="18"/>
          <w:szCs w:val="18"/>
        </w:rPr>
      </w:pPr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[2] Tang, N., Bai, H., Chen, X., Gong, J., Li, D. and Sun, Z. (2020), Anticoagulant treatment is associated with decreased mortality in severe coronavirus disease 2019 patients with coagulopathy. </w:t>
      </w:r>
      <w:r w:rsidRPr="00182D4F">
        <w:rPr>
          <w:rFonts w:ascii="Times New Roman" w:hAnsi="Times New Roman" w:cs="Times New Roman"/>
          <w:sz w:val="18"/>
          <w:szCs w:val="18"/>
        </w:rPr>
        <w:t xml:space="preserve">J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Thromb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Haemost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Accepted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 Author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Manuscript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>. doi:10.1111/jth.14817</w:t>
      </w:r>
    </w:p>
    <w:p w14:paraId="5D490B2C" w14:textId="3C0A0FCB" w:rsidR="000918B0" w:rsidRPr="00182D4F" w:rsidRDefault="000918B0" w:rsidP="00A97DAB">
      <w:pPr>
        <w:jc w:val="both"/>
        <w:rPr>
          <w:rFonts w:ascii="Times New Roman" w:hAnsi="Times New Roman" w:cs="Times New Roman"/>
          <w:sz w:val="18"/>
          <w:szCs w:val="18"/>
        </w:rPr>
      </w:pPr>
      <w:r w:rsidRPr="00182D4F">
        <w:rPr>
          <w:rFonts w:ascii="Times New Roman" w:hAnsi="Times New Roman" w:cs="Times New Roman"/>
          <w:sz w:val="18"/>
          <w:szCs w:val="18"/>
        </w:rPr>
        <w:t>[</w:t>
      </w:r>
      <w:r w:rsidR="0018410C" w:rsidRPr="00182D4F">
        <w:rPr>
          <w:rFonts w:ascii="Times New Roman" w:hAnsi="Times New Roman" w:cs="Times New Roman"/>
          <w:sz w:val="18"/>
          <w:szCs w:val="18"/>
        </w:rPr>
        <w:t>3</w:t>
      </w:r>
      <w:r w:rsidRPr="00182D4F">
        <w:rPr>
          <w:rFonts w:ascii="Times New Roman" w:hAnsi="Times New Roman" w:cs="Times New Roman"/>
          <w:sz w:val="18"/>
          <w:szCs w:val="18"/>
        </w:rPr>
        <w:t>]</w:t>
      </w:r>
      <w:r w:rsidR="00407788" w:rsidRPr="00182D4F">
        <w:rPr>
          <w:rFonts w:ascii="Times New Roman" w:hAnsi="Times New Roman" w:cs="Times New Roman"/>
          <w:sz w:val="18"/>
          <w:szCs w:val="18"/>
        </w:rPr>
        <w:t xml:space="preserve"> Riassunto delle Caratteristiche del Prodotto Idrossiclorochina, consultabile al sito  </w:t>
      </w:r>
      <w:hyperlink r:id="rId6" w:history="1">
        <w:r w:rsidR="00407788" w:rsidRPr="00182D4F">
          <w:rPr>
            <w:rStyle w:val="Collegamentoipertestuale"/>
            <w:rFonts w:ascii="Times New Roman" w:hAnsi="Times New Roman" w:cs="Times New Roman"/>
            <w:sz w:val="18"/>
            <w:szCs w:val="18"/>
          </w:rPr>
          <w:t>https://farmaci.agenziafarmaco.gov.it/aifa/servlet/PdfDownloadServlet?pdfFileName=footer_008055_013967_RCP.pdf&amp;retry=0&amp;sys=m0b1l3</w:t>
        </w:r>
      </w:hyperlink>
    </w:p>
    <w:p w14:paraId="011BC2A9" w14:textId="210771F6" w:rsidR="007C656F" w:rsidRPr="00182D4F" w:rsidRDefault="00BF4244" w:rsidP="00BF424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82D4F">
        <w:rPr>
          <w:rFonts w:ascii="Times New Roman" w:hAnsi="Times New Roman" w:cs="Times New Roman"/>
          <w:sz w:val="18"/>
          <w:szCs w:val="18"/>
          <w:lang w:val="en-GB"/>
        </w:rPr>
        <w:t>[4]</w:t>
      </w:r>
      <w:r w:rsidR="007C656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Elissa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Driggin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Mahesh V.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Madhavan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Behnood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Bikdeli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Taylor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Chuich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Justin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Laracy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>, Giuseppe Bondi-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Zoccai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Tyler S. Brown, Caroline Der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Nigoghossian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David A.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Zidar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Jennifer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Haythe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Daniel Brodie, Joshua A. Beckman, Ajay J.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Kirtane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Gregg W. Stone, Harlan M.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Krumholz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, Sahil A. Parikh, Cardiovascular Considerations for Patients, Health Care Workers, and Health Systems During the Coronavirus Disease 2019 (COVID-19) Pandemic, Journal of the American College of Cardiology, 2020, ISSN 0735-1097, </w:t>
      </w:r>
      <w:hyperlink r:id="rId7" w:history="1">
        <w:r w:rsidR="00793DBF" w:rsidRPr="00182D4F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https://doi.org/10.1016/j.jacc.2020.03.031</w:t>
        </w:r>
      </w:hyperlink>
      <w:r w:rsidRPr="00182D4F">
        <w:rPr>
          <w:rFonts w:ascii="Times New Roman" w:hAnsi="Times New Roman" w:cs="Times New Roman"/>
          <w:sz w:val="18"/>
          <w:szCs w:val="18"/>
          <w:lang w:val="en-GB"/>
        </w:rPr>
        <w:t>.</w:t>
      </w:r>
      <w:r w:rsidR="007C656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</w:p>
    <w:p w14:paraId="0B9DBDE2" w14:textId="3A963DF2" w:rsidR="00FE3C65" w:rsidRPr="00182D4F" w:rsidRDefault="007C656F" w:rsidP="00BF424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[5] </w:t>
      </w:r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Chen Shi, Cong Wang, </w:t>
      </w:r>
      <w:proofErr w:type="spellStart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>Hanxiang</w:t>
      </w:r>
      <w:proofErr w:type="spellEnd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Wang, Chao Yang, Fei Cai, Fang Zeng, Fang Cheng, </w:t>
      </w:r>
      <w:proofErr w:type="spellStart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>Yihui</w:t>
      </w:r>
      <w:proofErr w:type="spellEnd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Liu, </w:t>
      </w:r>
      <w:proofErr w:type="spellStart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>Taotao</w:t>
      </w:r>
      <w:proofErr w:type="spellEnd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Zhou, Bin Deng, Jinping Li, Yu Zhang. The potential of low molecular weight heparin to mitigate cytokine storm in severe covid-19 patients: a retrospective clinical study. </w:t>
      </w:r>
      <w:proofErr w:type="spellStart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>doi</w:t>
      </w:r>
      <w:proofErr w:type="spellEnd"/>
      <w:r w:rsidR="00793DB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: </w:t>
      </w:r>
      <w:hyperlink r:id="rId8" w:history="1">
        <w:r w:rsidR="00FE3C65" w:rsidRPr="00182D4F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https://doi.org/10.1101/2020.03.28.20046144</w:t>
        </w:r>
      </w:hyperlink>
    </w:p>
    <w:p w14:paraId="1FD278A3" w14:textId="2986FCA0" w:rsidR="007C656F" w:rsidRPr="00182D4F" w:rsidRDefault="007C656F" w:rsidP="00BF4244">
      <w:pPr>
        <w:jc w:val="both"/>
        <w:rPr>
          <w:rFonts w:ascii="Times New Roman" w:hAnsi="Times New Roman" w:cs="Times New Roman"/>
          <w:sz w:val="18"/>
          <w:szCs w:val="18"/>
        </w:rPr>
      </w:pPr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[6]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Thachil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J. The versatile heparin in COVID-19. J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Thromb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Haemost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. 2020 Apr 2. </w:t>
      </w:r>
      <w:proofErr w:type="spellStart"/>
      <w:r w:rsidRPr="00182D4F">
        <w:rPr>
          <w:rFonts w:ascii="Times New Roman" w:hAnsi="Times New Roman" w:cs="Times New Roman"/>
          <w:sz w:val="18"/>
          <w:szCs w:val="18"/>
          <w:lang w:val="en-GB"/>
        </w:rPr>
        <w:t>doi</w:t>
      </w:r>
      <w:proofErr w:type="spellEnd"/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: 10.1111/jth.14821. </w:t>
      </w:r>
      <w:r w:rsidRPr="00182D4F">
        <w:rPr>
          <w:rFonts w:ascii="Times New Roman" w:hAnsi="Times New Roman" w:cs="Times New Roman"/>
          <w:sz w:val="18"/>
          <w:szCs w:val="18"/>
        </w:rPr>
        <w:t>[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Epub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ahead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 of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print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] </w:t>
      </w:r>
      <w:proofErr w:type="spellStart"/>
      <w:r w:rsidRPr="00182D4F">
        <w:rPr>
          <w:rFonts w:ascii="Times New Roman" w:hAnsi="Times New Roman" w:cs="Times New Roman"/>
          <w:sz w:val="18"/>
          <w:szCs w:val="18"/>
        </w:rPr>
        <w:t>PubMed</w:t>
      </w:r>
      <w:proofErr w:type="spellEnd"/>
      <w:r w:rsidRPr="00182D4F">
        <w:rPr>
          <w:rFonts w:ascii="Times New Roman" w:hAnsi="Times New Roman" w:cs="Times New Roman"/>
          <w:sz w:val="18"/>
          <w:szCs w:val="18"/>
        </w:rPr>
        <w:t xml:space="preserve"> PMID: 32239799.</w:t>
      </w:r>
    </w:p>
    <w:p w14:paraId="7D5963F3" w14:textId="24970C42" w:rsidR="007F6CE2" w:rsidRPr="00182D4F" w:rsidRDefault="007C656F" w:rsidP="00BF4244">
      <w:pPr>
        <w:jc w:val="both"/>
        <w:rPr>
          <w:rFonts w:ascii="Times New Roman" w:hAnsi="Times New Roman" w:cs="Times New Roman"/>
          <w:sz w:val="18"/>
          <w:szCs w:val="18"/>
        </w:rPr>
      </w:pPr>
      <w:r w:rsidRPr="00182D4F">
        <w:rPr>
          <w:rFonts w:ascii="Times New Roman" w:hAnsi="Times New Roman" w:cs="Times New Roman"/>
          <w:sz w:val="18"/>
          <w:szCs w:val="18"/>
        </w:rPr>
        <w:lastRenderedPageBreak/>
        <w:t xml:space="preserve">[7] </w:t>
      </w:r>
      <w:r w:rsidR="007F6CE2" w:rsidRPr="00182D4F">
        <w:rPr>
          <w:rFonts w:ascii="Times New Roman" w:hAnsi="Times New Roman" w:cs="Times New Roman"/>
          <w:sz w:val="18"/>
          <w:szCs w:val="18"/>
        </w:rPr>
        <w:t xml:space="preserve">Riassunto delle </w:t>
      </w:r>
      <w:r w:rsidR="00407788" w:rsidRPr="00182D4F">
        <w:rPr>
          <w:rFonts w:ascii="Times New Roman" w:hAnsi="Times New Roman" w:cs="Times New Roman"/>
          <w:sz w:val="18"/>
          <w:szCs w:val="18"/>
        </w:rPr>
        <w:t>C</w:t>
      </w:r>
      <w:r w:rsidR="007F6CE2" w:rsidRPr="00182D4F">
        <w:rPr>
          <w:rFonts w:ascii="Times New Roman" w:hAnsi="Times New Roman" w:cs="Times New Roman"/>
          <w:sz w:val="18"/>
          <w:szCs w:val="18"/>
        </w:rPr>
        <w:t xml:space="preserve">aratteristiche del Prodotto </w:t>
      </w:r>
      <w:proofErr w:type="spellStart"/>
      <w:r w:rsidR="007F6CE2" w:rsidRPr="00182D4F">
        <w:rPr>
          <w:rFonts w:ascii="Times New Roman" w:hAnsi="Times New Roman" w:cs="Times New Roman"/>
          <w:sz w:val="18"/>
          <w:szCs w:val="18"/>
        </w:rPr>
        <w:t>Enoxaparina</w:t>
      </w:r>
      <w:proofErr w:type="spellEnd"/>
      <w:r w:rsidR="007F6CE2" w:rsidRPr="00182D4F">
        <w:rPr>
          <w:rFonts w:ascii="Times New Roman" w:hAnsi="Times New Roman" w:cs="Times New Roman"/>
          <w:sz w:val="18"/>
          <w:szCs w:val="18"/>
        </w:rPr>
        <w:t xml:space="preserve"> sodica, consultabile al sito  </w:t>
      </w:r>
      <w:hyperlink r:id="rId9" w:history="1">
        <w:r w:rsidR="007F6CE2" w:rsidRPr="00182D4F">
          <w:rPr>
            <w:rStyle w:val="Collegamentoipertestuale"/>
            <w:rFonts w:ascii="Times New Roman" w:hAnsi="Times New Roman" w:cs="Times New Roman"/>
            <w:sz w:val="18"/>
            <w:szCs w:val="18"/>
          </w:rPr>
          <w:t>https://farmaci.agenziafarmaco.gov.it/aifa/servlet/PdfDownloadServlet?pdfFileName=footer_008055_029111_RCP.pdf&amp;retry=0&amp;sys=m0b1l3</w:t>
        </w:r>
      </w:hyperlink>
    </w:p>
    <w:p w14:paraId="6604B8E1" w14:textId="1D51D556" w:rsidR="007C656F" w:rsidRPr="00182D4F" w:rsidRDefault="007F6CE2" w:rsidP="00BF4244">
      <w:pPr>
        <w:jc w:val="both"/>
        <w:rPr>
          <w:rFonts w:ascii="Times New Roman" w:hAnsi="Times New Roman" w:cs="Times New Roman"/>
          <w:sz w:val="18"/>
          <w:szCs w:val="18"/>
          <w:lang w:val="en-GB"/>
        </w:rPr>
      </w:pPr>
      <w:r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[8] </w:t>
      </w:r>
      <w:r w:rsidR="007C656F" w:rsidRPr="00182D4F">
        <w:rPr>
          <w:rFonts w:ascii="Times New Roman" w:hAnsi="Times New Roman" w:cs="Times New Roman"/>
          <w:sz w:val="18"/>
          <w:szCs w:val="18"/>
          <w:lang w:val="en-GB"/>
        </w:rPr>
        <w:t xml:space="preserve">European Medicines Agency (EMEA). Questions and answer on heparins. 2008. </w:t>
      </w:r>
      <w:hyperlink r:id="rId10" w:history="1">
        <w:r w:rsidR="007C656F" w:rsidRPr="00182D4F">
          <w:rPr>
            <w:rStyle w:val="Collegamentoipertestuale"/>
            <w:rFonts w:ascii="Times New Roman" w:hAnsi="Times New Roman" w:cs="Times New Roman"/>
            <w:sz w:val="18"/>
            <w:szCs w:val="18"/>
            <w:lang w:val="en-GB"/>
          </w:rPr>
          <w:t>http://www.ema.europa.eu/docs/en_GB/document_library/Medicine_QA/2009/11/WC500015169.pdf</w:t>
        </w:r>
      </w:hyperlink>
    </w:p>
    <w:sectPr w:rsidR="007C656F" w:rsidRPr="00182D4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4BC39" w14:textId="77777777" w:rsidR="00987F6D" w:rsidRDefault="00987F6D" w:rsidP="00793DBF">
      <w:pPr>
        <w:spacing w:after="0" w:line="240" w:lineRule="auto"/>
      </w:pPr>
      <w:r>
        <w:separator/>
      </w:r>
    </w:p>
  </w:endnote>
  <w:endnote w:type="continuationSeparator" w:id="0">
    <w:p w14:paraId="57692256" w14:textId="77777777" w:rsidR="00987F6D" w:rsidRDefault="00987F6D" w:rsidP="0079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2F104" w14:textId="77777777" w:rsidR="00182D4F" w:rsidRDefault="00182D4F" w:rsidP="00182D4F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</w:p>
  <w:p w14:paraId="77283014" w14:textId="47C22F72" w:rsidR="00182D4F" w:rsidRPr="00182D4F" w:rsidRDefault="00182D4F" w:rsidP="00182D4F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182D4F">
      <w:rPr>
        <w:rFonts w:ascii="Times New Roman" w:hAnsi="Times New Roman" w:cs="Times New Roman"/>
        <w:sz w:val="18"/>
        <w:szCs w:val="18"/>
      </w:rPr>
      <w:t xml:space="preserve">Dr. Marco Pivato, </w:t>
    </w:r>
    <w:proofErr w:type="spellStart"/>
    <w:r w:rsidRPr="00182D4F">
      <w:rPr>
        <w:rFonts w:ascii="Times New Roman" w:hAnsi="Times New Roman" w:cs="Times New Roman"/>
        <w:i/>
        <w:iCs/>
        <w:sz w:val="18"/>
        <w:szCs w:val="18"/>
      </w:rPr>
      <w:t>MPharm</w:t>
    </w:r>
    <w:proofErr w:type="spellEnd"/>
    <w:r w:rsidRPr="00182D4F">
      <w:rPr>
        <w:rFonts w:ascii="Times New Roman" w:hAnsi="Times New Roman" w:cs="Times New Roman"/>
        <w:i/>
        <w:iCs/>
        <w:sz w:val="18"/>
        <w:szCs w:val="18"/>
      </w:rPr>
      <w:t>.</w:t>
    </w:r>
  </w:p>
  <w:p w14:paraId="5BC971A4" w14:textId="77777777" w:rsidR="00182D4F" w:rsidRPr="00182D4F" w:rsidRDefault="00182D4F" w:rsidP="00182D4F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182D4F">
      <w:rPr>
        <w:rFonts w:ascii="Times New Roman" w:hAnsi="Times New Roman" w:cs="Times New Roman"/>
        <w:sz w:val="18"/>
        <w:szCs w:val="18"/>
      </w:rPr>
      <w:t>Società Italiana di Farmacologia - Area Comunicazione.</w:t>
    </w:r>
  </w:p>
  <w:p w14:paraId="5A197C84" w14:textId="77777777" w:rsidR="00182D4F" w:rsidRPr="00182D4F" w:rsidRDefault="00182D4F" w:rsidP="00182D4F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182D4F">
      <w:rPr>
        <w:rFonts w:ascii="Times New Roman" w:hAnsi="Times New Roman" w:cs="Times New Roman"/>
        <w:sz w:val="18"/>
        <w:szCs w:val="18"/>
      </w:rPr>
      <w:t>Via Giovanni Pascoli, 03 - 20129 Milano.</w:t>
    </w:r>
  </w:p>
  <w:p w14:paraId="3A6254B5" w14:textId="33D9DB63" w:rsidR="00793DBF" w:rsidRPr="00182D4F" w:rsidRDefault="00182D4F" w:rsidP="00182D4F">
    <w:pPr>
      <w:tabs>
        <w:tab w:val="center" w:pos="4819"/>
        <w:tab w:val="right" w:pos="9638"/>
      </w:tabs>
      <w:spacing w:after="0" w:line="240" w:lineRule="auto"/>
      <w:rPr>
        <w:rFonts w:ascii="Times New Roman" w:hAnsi="Times New Roman" w:cs="Times New Roman"/>
        <w:sz w:val="18"/>
        <w:szCs w:val="18"/>
      </w:rPr>
    </w:pPr>
    <w:r w:rsidRPr="00182D4F">
      <w:rPr>
        <w:rFonts w:ascii="Times New Roman" w:hAnsi="Times New Roman" w:cs="Times New Roman"/>
        <w:sz w:val="18"/>
        <w:szCs w:val="18"/>
      </w:rPr>
      <w:t xml:space="preserve">Mob. 349 5297270 </w:t>
    </w:r>
    <w:hyperlink r:id="rId1" w:history="1">
      <w:r w:rsidRPr="00182D4F">
        <w:rPr>
          <w:rFonts w:ascii="Times New Roman" w:hAnsi="Times New Roman" w:cs="Times New Roman"/>
          <w:color w:val="0000FF"/>
          <w:sz w:val="18"/>
          <w:szCs w:val="18"/>
          <w:u w:val="single"/>
        </w:rPr>
        <w:t>ufficiostampa@sif-farmacologia.it</w:t>
      </w:r>
    </w:hyperlink>
    <w:r w:rsidRPr="00182D4F">
      <w:rPr>
        <w:rFonts w:ascii="Times New Roman" w:hAnsi="Times New Roman" w:cs="Times New Roman"/>
        <w:sz w:val="18"/>
        <w:szCs w:val="18"/>
      </w:rPr>
      <w:t xml:space="preserve"> - </w:t>
    </w:r>
    <w:hyperlink r:id="rId2" w:history="1">
      <w:r w:rsidRPr="00182D4F">
        <w:rPr>
          <w:rFonts w:ascii="Times New Roman" w:hAnsi="Times New Roman" w:cs="Times New Roman"/>
          <w:color w:val="0000FF"/>
          <w:sz w:val="18"/>
          <w:szCs w:val="18"/>
          <w:u w:val="single"/>
        </w:rPr>
        <w:t>www.sifweb.org</w:t>
      </w:r>
    </w:hyperlink>
  </w:p>
  <w:p w14:paraId="1381D820" w14:textId="77777777" w:rsidR="00793DBF" w:rsidRDefault="00793D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67A3F" w14:textId="77777777" w:rsidR="00987F6D" w:rsidRDefault="00987F6D" w:rsidP="00793DBF">
      <w:pPr>
        <w:spacing w:after="0" w:line="240" w:lineRule="auto"/>
      </w:pPr>
      <w:r>
        <w:separator/>
      </w:r>
    </w:p>
  </w:footnote>
  <w:footnote w:type="continuationSeparator" w:id="0">
    <w:p w14:paraId="477CC808" w14:textId="77777777" w:rsidR="00987F6D" w:rsidRDefault="00987F6D" w:rsidP="0079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88ABE" w14:textId="32FD3FC8" w:rsidR="00182D4F" w:rsidRDefault="00182D4F" w:rsidP="00182D4F">
    <w:pPr>
      <w:pStyle w:val="Intestazione"/>
      <w:jc w:val="center"/>
    </w:pPr>
    <w:r>
      <w:rPr>
        <w:noProof/>
      </w:rPr>
      <w:drawing>
        <wp:inline distT="0" distB="0" distL="0" distR="0" wp14:anchorId="380F1F9F" wp14:editId="6D856EEC">
          <wp:extent cx="1727859" cy="815618"/>
          <wp:effectExtent l="0" t="0" r="5715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8898" cy="8208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884B2CC" w14:textId="77777777" w:rsidR="00182D4F" w:rsidRDefault="00182D4F" w:rsidP="00182D4F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EE"/>
    <w:rsid w:val="00064766"/>
    <w:rsid w:val="00067101"/>
    <w:rsid w:val="000918B0"/>
    <w:rsid w:val="000C3EF7"/>
    <w:rsid w:val="00121BD7"/>
    <w:rsid w:val="00144155"/>
    <w:rsid w:val="00147F80"/>
    <w:rsid w:val="001774EB"/>
    <w:rsid w:val="00182D4F"/>
    <w:rsid w:val="0018410C"/>
    <w:rsid w:val="002023F5"/>
    <w:rsid w:val="00225348"/>
    <w:rsid w:val="00236D57"/>
    <w:rsid w:val="002665CB"/>
    <w:rsid w:val="002C41A2"/>
    <w:rsid w:val="002F7D4B"/>
    <w:rsid w:val="00316CFD"/>
    <w:rsid w:val="003408E8"/>
    <w:rsid w:val="00395049"/>
    <w:rsid w:val="003E49CF"/>
    <w:rsid w:val="00407788"/>
    <w:rsid w:val="00503CE4"/>
    <w:rsid w:val="00511B1C"/>
    <w:rsid w:val="005210BC"/>
    <w:rsid w:val="006D0F7B"/>
    <w:rsid w:val="007063DC"/>
    <w:rsid w:val="00732AAC"/>
    <w:rsid w:val="0073589B"/>
    <w:rsid w:val="0074092D"/>
    <w:rsid w:val="0074194D"/>
    <w:rsid w:val="007562C3"/>
    <w:rsid w:val="00786822"/>
    <w:rsid w:val="00793DBF"/>
    <w:rsid w:val="007C656F"/>
    <w:rsid w:val="007F66C9"/>
    <w:rsid w:val="007F6CE2"/>
    <w:rsid w:val="008C1E5B"/>
    <w:rsid w:val="008D2F44"/>
    <w:rsid w:val="008F6675"/>
    <w:rsid w:val="00987F6D"/>
    <w:rsid w:val="00A259A4"/>
    <w:rsid w:val="00A545D3"/>
    <w:rsid w:val="00A97DAB"/>
    <w:rsid w:val="00AA2C0D"/>
    <w:rsid w:val="00AA71EB"/>
    <w:rsid w:val="00B65BDC"/>
    <w:rsid w:val="00BB074E"/>
    <w:rsid w:val="00BF4244"/>
    <w:rsid w:val="00C5603E"/>
    <w:rsid w:val="00CD1AD9"/>
    <w:rsid w:val="00CF0601"/>
    <w:rsid w:val="00CF7B47"/>
    <w:rsid w:val="00D26AFB"/>
    <w:rsid w:val="00D66130"/>
    <w:rsid w:val="00D752AD"/>
    <w:rsid w:val="00D822F8"/>
    <w:rsid w:val="00D86D1A"/>
    <w:rsid w:val="00DA4852"/>
    <w:rsid w:val="00E00BEC"/>
    <w:rsid w:val="00E131EB"/>
    <w:rsid w:val="00E35562"/>
    <w:rsid w:val="00E35DEE"/>
    <w:rsid w:val="00E53787"/>
    <w:rsid w:val="00EC1376"/>
    <w:rsid w:val="00ED54CE"/>
    <w:rsid w:val="00F34480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A548C"/>
  <w15:chartTrackingRefBased/>
  <w15:docId w15:val="{738F929C-197A-461B-A2D7-92BD63F0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424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424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9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93DBF"/>
  </w:style>
  <w:style w:type="paragraph" w:styleId="Pidipagina">
    <w:name w:val="footer"/>
    <w:basedOn w:val="Normale"/>
    <w:link w:val="PidipaginaCarattere"/>
    <w:uiPriority w:val="99"/>
    <w:unhideWhenUsed/>
    <w:rsid w:val="00793D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3DB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325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834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1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01/2020.03.28.20046144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jacc.2020.03.031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armaci.agenziafarmaco.gov.it/aifa/servlet/PdfDownloadServlet?pdfFileName=footer_008055_013967_RCP.pdf&amp;retry=0&amp;sys=m0b1l3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ema.europa.eu/docs/en_GB/document_library/Medicine_QA/2009/11/WC500015169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farmaci.agenziafarmaco.gov.it/aifa/servlet/PdfDownloadServlet?pdfFileName=footer_008055_029111_RCP.pdf&amp;retry=0&amp;sys=m0b1l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fweb.org" TargetMode="External"/><Relationship Id="rId1" Type="http://schemas.openxmlformats.org/officeDocument/2006/relationships/hyperlink" Target="mailto:ufficiostampa@sif-farmacologi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1693</Words>
  <Characters>9652</Characters>
  <Application>Microsoft Office Word</Application>
  <DocSecurity>0</DocSecurity>
  <Lines>80</Lines>
  <Paragraphs>22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GLO</dc:creator>
  <cp:keywords/>
  <dc:description/>
  <cp:lastModifiedBy>Marco Pivato</cp:lastModifiedBy>
  <cp:revision>7</cp:revision>
  <dcterms:created xsi:type="dcterms:W3CDTF">2020-04-15T07:41:00Z</dcterms:created>
  <dcterms:modified xsi:type="dcterms:W3CDTF">2021-04-28T09:41:00Z</dcterms:modified>
</cp:coreProperties>
</file>