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2F8C4" w14:textId="2E0CE625" w:rsidR="000E6A00" w:rsidRPr="006A2CA8" w:rsidRDefault="006A2CA8" w:rsidP="006A2CA8">
      <w:pPr>
        <w:jc w:val="center"/>
        <w:rPr>
          <w:b/>
          <w:bCs/>
          <w:sz w:val="24"/>
          <w:szCs w:val="24"/>
        </w:rPr>
      </w:pPr>
      <w:r w:rsidRPr="006A2CA8">
        <w:rPr>
          <w:b/>
          <w:bCs/>
          <w:sz w:val="24"/>
          <w:szCs w:val="24"/>
        </w:rPr>
        <w:t>Povertà farmaceutica: in milioni coloro che in Italia non possono curarsi.</w:t>
      </w:r>
      <w:r w:rsidRPr="006A2CA8">
        <w:rPr>
          <w:b/>
          <w:bCs/>
          <w:sz w:val="24"/>
          <w:szCs w:val="24"/>
        </w:rPr>
        <w:br/>
        <w:t xml:space="preserve">Non ancora chiaro l’impatto economico del COVID-19: </w:t>
      </w:r>
      <w:r w:rsidRPr="006A2CA8">
        <w:rPr>
          <w:rFonts w:cstheme="minorHAnsi"/>
          <w:b/>
          <w:bCs/>
          <w:sz w:val="24"/>
          <w:szCs w:val="24"/>
        </w:rPr>
        <w:t>«Probabilmente</w:t>
      </w:r>
      <w:r w:rsidRPr="006A2CA8">
        <w:rPr>
          <w:b/>
          <w:bCs/>
          <w:sz w:val="24"/>
          <w:szCs w:val="24"/>
        </w:rPr>
        <w:t xml:space="preserve"> come nel 2008</w:t>
      </w:r>
      <w:r w:rsidRPr="006A2CA8">
        <w:rPr>
          <w:rFonts w:cstheme="minorHAnsi"/>
          <w:b/>
          <w:bCs/>
          <w:sz w:val="24"/>
          <w:szCs w:val="24"/>
        </w:rPr>
        <w:t>»</w:t>
      </w:r>
    </w:p>
    <w:p w14:paraId="2812BE2A" w14:textId="77777777" w:rsidR="000E6A00" w:rsidRDefault="000E6A00" w:rsidP="000A0944">
      <w:pPr>
        <w:rPr>
          <w:sz w:val="24"/>
          <w:szCs w:val="24"/>
        </w:rPr>
      </w:pPr>
    </w:p>
    <w:p w14:paraId="0D3759F2" w14:textId="14DE1D32" w:rsidR="000A0944" w:rsidRPr="00B951AC" w:rsidRDefault="000A0944" w:rsidP="000A0944">
      <w:pPr>
        <w:rPr>
          <w:sz w:val="24"/>
          <w:szCs w:val="24"/>
        </w:rPr>
      </w:pPr>
      <w:r w:rsidRPr="00B951AC">
        <w:rPr>
          <w:sz w:val="24"/>
          <w:szCs w:val="24"/>
        </w:rPr>
        <w:t>12 marzo 2021.</w:t>
      </w:r>
    </w:p>
    <w:p w14:paraId="0FA1A25E" w14:textId="3C174285" w:rsidR="00B836AF" w:rsidRDefault="000A0944" w:rsidP="000A0944">
      <w:pPr>
        <w:spacing w:line="360" w:lineRule="auto"/>
        <w:rPr>
          <w:sz w:val="24"/>
          <w:szCs w:val="24"/>
        </w:rPr>
      </w:pPr>
      <w:r w:rsidRPr="00B951AC">
        <w:rPr>
          <w:sz w:val="24"/>
          <w:szCs w:val="24"/>
        </w:rPr>
        <w:t xml:space="preserve">Secondo le ultime statistiche ufficiali diffuse dall’Istat il 16 giugno 2020 (Istat, 2020), </w:t>
      </w:r>
      <w:r w:rsidRPr="00B951AC">
        <w:rPr>
          <w:b/>
          <w:bCs/>
          <w:sz w:val="24"/>
          <w:szCs w:val="24"/>
        </w:rPr>
        <w:t>in Italia nel 2019 quasi 1.7 milioni di famiglie (6.4% del totale), corrispondenti a quasi 4.7 milioni di persone (7.7% del totale), vivevano in condizione di povertà assoluta</w:t>
      </w:r>
      <w:r w:rsidRPr="00B951AC">
        <w:rPr>
          <w:sz w:val="24"/>
          <w:szCs w:val="24"/>
        </w:rPr>
        <w:t xml:space="preserve">. Il report conferma inoltre </w:t>
      </w:r>
      <w:r w:rsidRPr="00B951AC">
        <w:rPr>
          <w:b/>
          <w:bCs/>
          <w:sz w:val="24"/>
          <w:szCs w:val="24"/>
        </w:rPr>
        <w:t>l’esistenza di un gradiente di povertà su base geografica: la percentuale di famiglie indigenti era più alta nel Meridione (8.8% nel Sud e 8.7% nelle Isole), rispetto al Centro (4.5%) e al Settentrione (5.8% nel Nord-Ovest e 6.0% nel Nord-Est).</w:t>
      </w:r>
      <w:r w:rsidRPr="00B951AC">
        <w:rPr>
          <w:sz w:val="24"/>
          <w:szCs w:val="24"/>
        </w:rPr>
        <w:t xml:space="preserve"> Le persone in povertà assoluta erano 1.870.000 (6.8% dei residenti) nelle regioni del Nord e 2.071.000 (10.1% dei residenti) nel Mezzogiorno. Questi i dati</w:t>
      </w:r>
      <w:r w:rsidR="00B951AC" w:rsidRPr="00B951AC">
        <w:rPr>
          <w:sz w:val="24"/>
          <w:szCs w:val="24"/>
        </w:rPr>
        <w:t xml:space="preserve"> in evidenza al Congresso Nazionale della Società Italiana di Farmacologia (SIF), nella relazione del Professor Silvano Cella, dell’Università degli Studi di Milano e membro SIF.</w:t>
      </w:r>
      <w:r w:rsidR="00B836AF">
        <w:rPr>
          <w:sz w:val="24"/>
          <w:szCs w:val="24"/>
        </w:rPr>
        <w:br/>
      </w:r>
      <w:r w:rsidR="00B836AF">
        <w:rPr>
          <w:sz w:val="24"/>
          <w:szCs w:val="24"/>
        </w:rPr>
        <w:br/>
      </w:r>
      <w:r w:rsidRPr="00B951AC">
        <w:rPr>
          <w:sz w:val="24"/>
          <w:szCs w:val="24"/>
        </w:rPr>
        <w:t>«Queste differenze territoriali sono dovute anche alla maggior concentrazione nel Sud di nuclei famigliari numerosi – spiega Silvano Cella</w:t>
      </w:r>
      <w:r w:rsidR="00B951AC" w:rsidRPr="00B951AC">
        <w:rPr>
          <w:sz w:val="24"/>
          <w:szCs w:val="24"/>
        </w:rPr>
        <w:t xml:space="preserve"> </w:t>
      </w:r>
      <w:r w:rsidRPr="00B951AC">
        <w:rPr>
          <w:sz w:val="24"/>
          <w:szCs w:val="24"/>
        </w:rPr>
        <w:t xml:space="preserve">– e </w:t>
      </w:r>
      <w:r w:rsidR="003037A1" w:rsidRPr="003037A1">
        <w:rPr>
          <w:b/>
          <w:bCs/>
          <w:sz w:val="24"/>
          <w:szCs w:val="24"/>
        </w:rPr>
        <w:t>s</w:t>
      </w:r>
      <w:r w:rsidRPr="003037A1">
        <w:rPr>
          <w:b/>
          <w:bCs/>
          <w:sz w:val="24"/>
          <w:szCs w:val="24"/>
        </w:rPr>
        <w:t>i conferma infatti che il riscontro di povertà assoluta è più frequente tra le famiglie con un maggior numero di componenti</w:t>
      </w:r>
      <w:r w:rsidRPr="00B951AC">
        <w:rPr>
          <w:sz w:val="24"/>
          <w:szCs w:val="24"/>
        </w:rPr>
        <w:t xml:space="preserve">, passando dal 6.5% di quelle con un solo figlio minore al 20.2% se sono presenti tre o più figli minori. </w:t>
      </w:r>
      <w:r w:rsidRPr="003037A1">
        <w:rPr>
          <w:b/>
          <w:bCs/>
          <w:sz w:val="24"/>
          <w:szCs w:val="24"/>
        </w:rPr>
        <w:t>Anche tra le famiglie monogenitoriali la povertà era più diffusa rispetto alla media nazionale</w:t>
      </w:r>
      <w:r w:rsidRPr="00B951AC">
        <w:rPr>
          <w:sz w:val="24"/>
          <w:szCs w:val="24"/>
        </w:rPr>
        <w:t xml:space="preserve"> (8.9%). Tra chi viveva in condizioni di povertà assoluta, particolarmente numeroso (26.9%) era il gruppo degli </w:t>
      </w:r>
      <w:r w:rsidRPr="003037A1">
        <w:rPr>
          <w:b/>
          <w:bCs/>
          <w:sz w:val="24"/>
          <w:szCs w:val="24"/>
        </w:rPr>
        <w:t>stranieri residenti in Italia</w:t>
      </w:r>
      <w:r w:rsidRPr="00B951AC">
        <w:rPr>
          <w:sz w:val="24"/>
          <w:szCs w:val="24"/>
        </w:rPr>
        <w:t>, formato da quasi un milione e 400mila persone, dato che saliva al 31.2% tra le famiglie immigrate con figli minori».</w:t>
      </w:r>
      <w:r w:rsidR="00B836AF">
        <w:rPr>
          <w:sz w:val="24"/>
          <w:szCs w:val="24"/>
        </w:rPr>
        <w:br/>
      </w:r>
      <w:r w:rsidR="00B836AF">
        <w:rPr>
          <w:sz w:val="24"/>
          <w:szCs w:val="24"/>
        </w:rPr>
        <w:br/>
      </w:r>
      <w:r w:rsidRPr="00B951AC">
        <w:rPr>
          <w:sz w:val="24"/>
          <w:szCs w:val="24"/>
        </w:rPr>
        <w:t xml:space="preserve">È interessante osservare che nel 2019, </w:t>
      </w:r>
      <w:r w:rsidRPr="003037A1">
        <w:rPr>
          <w:b/>
          <w:bCs/>
          <w:sz w:val="24"/>
          <w:szCs w:val="24"/>
        </w:rPr>
        <w:t>per la prima volta dopo molti anni, la prevalenza della povertà assoluta è diminuita in misura significativa rispetto all’anno precedente</w:t>
      </w:r>
      <w:r w:rsidRPr="00B951AC">
        <w:rPr>
          <w:sz w:val="24"/>
          <w:szCs w:val="24"/>
        </w:rPr>
        <w:t xml:space="preserve"> (-0,6 punti percentuali a livello nazionale). Ciò è dovuto principalmente all'andamento favorevole delle </w:t>
      </w:r>
      <w:r w:rsidRPr="00B951AC">
        <w:rPr>
          <w:sz w:val="24"/>
          <w:szCs w:val="24"/>
        </w:rPr>
        <w:lastRenderedPageBreak/>
        <w:t xml:space="preserve">regioni del Mezzogiorno (-1,4 punti percentuali) e del Centro (-0,9 punti percentuali), interamente attribuibile agli effetti redistributivi delle misure economico-sociali varate per sostenere la popolazione con reddito inferiore alle soglie di povertà assoluta. </w:t>
      </w:r>
      <w:r w:rsidR="003037A1">
        <w:rPr>
          <w:rFonts w:cstheme="minorHAnsi"/>
          <w:sz w:val="24"/>
          <w:szCs w:val="24"/>
        </w:rPr>
        <w:t>«</w:t>
      </w:r>
      <w:r w:rsidRPr="00B951AC">
        <w:rPr>
          <w:sz w:val="24"/>
          <w:szCs w:val="24"/>
        </w:rPr>
        <w:t>La situazione non è invece migliorata nelle regioni del Nord</w:t>
      </w:r>
      <w:r w:rsidR="003037A1">
        <w:rPr>
          <w:sz w:val="24"/>
          <w:szCs w:val="24"/>
        </w:rPr>
        <w:t xml:space="preserve"> – continua Cella – </w:t>
      </w:r>
      <w:r w:rsidRPr="00B951AC">
        <w:rPr>
          <w:sz w:val="24"/>
          <w:szCs w:val="24"/>
        </w:rPr>
        <w:t xml:space="preserve">poiché qui si concentrano maggiormente gli immigrati che registrano tassi di povertà di gran lunga superiori al resto della popolazione residente. </w:t>
      </w:r>
      <w:r w:rsidRPr="003037A1">
        <w:rPr>
          <w:b/>
          <w:bCs/>
          <w:sz w:val="24"/>
          <w:szCs w:val="24"/>
        </w:rPr>
        <w:t>Emerge inoltre che alla popolazione povera residente nel Settentrione sono state destinate meno risorse pubbliche di quelle allocate per il Mezzogiorno, poiché le politiche pubbliche adottano soglie di povertà identiche su tutto il territorio nazionale e non tengono conto del diverso costo della vita</w:t>
      </w:r>
      <w:r w:rsidRPr="00B951AC">
        <w:rPr>
          <w:sz w:val="24"/>
          <w:szCs w:val="24"/>
        </w:rPr>
        <w:t xml:space="preserve"> come invece prevedono le stime della povertà assoluta elaborate dall’Istat</w:t>
      </w:r>
      <w:r w:rsidR="003037A1">
        <w:rPr>
          <w:rFonts w:cstheme="minorHAnsi"/>
          <w:sz w:val="24"/>
          <w:szCs w:val="24"/>
        </w:rPr>
        <w:t>»</w:t>
      </w:r>
      <w:r w:rsidRPr="00B951AC">
        <w:rPr>
          <w:sz w:val="24"/>
          <w:szCs w:val="24"/>
        </w:rPr>
        <w:t xml:space="preserve"> (Istat, 2020).</w:t>
      </w:r>
      <w:r w:rsidR="00B836AF">
        <w:rPr>
          <w:sz w:val="24"/>
          <w:szCs w:val="24"/>
        </w:rPr>
        <w:br/>
      </w:r>
      <w:r w:rsidR="00B836AF">
        <w:rPr>
          <w:sz w:val="24"/>
          <w:szCs w:val="24"/>
        </w:rPr>
        <w:br/>
      </w:r>
      <w:r w:rsidRPr="00B951AC">
        <w:rPr>
          <w:sz w:val="24"/>
          <w:szCs w:val="24"/>
        </w:rPr>
        <w:t>Queste statistiche, tuttavia, non hanno ancora intercettato l’impatto della pandemia Covid-19 che a partire da marzo 2020 ha investito drammaticamente –</w:t>
      </w:r>
      <w:r w:rsidR="00CC6D08">
        <w:rPr>
          <w:sz w:val="24"/>
          <w:szCs w:val="24"/>
        </w:rPr>
        <w:t xml:space="preserve"> </w:t>
      </w:r>
      <w:r w:rsidRPr="00B951AC">
        <w:rPr>
          <w:sz w:val="24"/>
          <w:szCs w:val="24"/>
        </w:rPr>
        <w:t>sia pure con diversa intensità territoriale</w:t>
      </w:r>
      <w:r w:rsidR="00CC6D08">
        <w:rPr>
          <w:sz w:val="24"/>
          <w:szCs w:val="24"/>
        </w:rPr>
        <w:t xml:space="preserve"> </w:t>
      </w:r>
      <w:r w:rsidRPr="00B951AC">
        <w:rPr>
          <w:sz w:val="24"/>
          <w:szCs w:val="24"/>
        </w:rPr>
        <w:t xml:space="preserve">– il nostro Paese. </w:t>
      </w:r>
      <w:r w:rsidR="00CC6D08">
        <w:rPr>
          <w:rFonts w:cstheme="minorHAnsi"/>
          <w:sz w:val="24"/>
          <w:szCs w:val="24"/>
        </w:rPr>
        <w:t>«</w:t>
      </w:r>
      <w:r w:rsidRPr="00B951AC">
        <w:rPr>
          <w:sz w:val="24"/>
          <w:szCs w:val="24"/>
        </w:rPr>
        <w:t>Non si è trattato solo di una emergenza sanitaria</w:t>
      </w:r>
      <w:r w:rsidR="000E6A00">
        <w:rPr>
          <w:sz w:val="24"/>
          <w:szCs w:val="24"/>
        </w:rPr>
        <w:t xml:space="preserve"> – precisa Cella –</w:t>
      </w:r>
      <w:r w:rsidRPr="00B951AC">
        <w:rPr>
          <w:sz w:val="24"/>
          <w:szCs w:val="24"/>
        </w:rPr>
        <w:t xml:space="preserve"> il periodo di </w:t>
      </w:r>
      <w:proofErr w:type="spellStart"/>
      <w:r w:rsidRPr="00CC6D08">
        <w:rPr>
          <w:i/>
          <w:iCs/>
          <w:sz w:val="24"/>
          <w:szCs w:val="24"/>
        </w:rPr>
        <w:t>lockdown</w:t>
      </w:r>
      <w:proofErr w:type="spellEnd"/>
      <w:r w:rsidRPr="00B951AC">
        <w:rPr>
          <w:sz w:val="24"/>
          <w:szCs w:val="24"/>
        </w:rPr>
        <w:t xml:space="preserve"> ha influito negativamente anche sulle attività economiche ed </w:t>
      </w:r>
      <w:r w:rsidRPr="00CC6D08">
        <w:rPr>
          <w:b/>
          <w:bCs/>
          <w:sz w:val="24"/>
          <w:szCs w:val="24"/>
        </w:rPr>
        <w:t>è ipotizzabile che tali effetti risulteranno più marcati nelle Regioni settentrionali</w:t>
      </w:r>
      <w:r w:rsidRPr="00B951AC">
        <w:rPr>
          <w:sz w:val="24"/>
          <w:szCs w:val="24"/>
        </w:rPr>
        <w:t>, incrementando il tasso di povertà proprio laddove è presente la maggior parte delle attività produttive del Paese</w:t>
      </w:r>
      <w:r w:rsidR="00CC6D08">
        <w:rPr>
          <w:rFonts w:cstheme="minorHAnsi"/>
          <w:sz w:val="24"/>
          <w:szCs w:val="24"/>
        </w:rPr>
        <w:t>»</w:t>
      </w:r>
      <w:r w:rsidRPr="00B951AC">
        <w:rPr>
          <w:sz w:val="24"/>
          <w:szCs w:val="24"/>
        </w:rPr>
        <w:t xml:space="preserve">. </w:t>
      </w:r>
      <w:r w:rsidR="00B836AF">
        <w:rPr>
          <w:sz w:val="24"/>
          <w:szCs w:val="24"/>
        </w:rPr>
        <w:br/>
      </w:r>
      <w:r w:rsidR="00B836AF">
        <w:rPr>
          <w:sz w:val="24"/>
          <w:szCs w:val="24"/>
        </w:rPr>
        <w:br/>
      </w:r>
      <w:r w:rsidRPr="00B951AC">
        <w:rPr>
          <w:sz w:val="24"/>
          <w:szCs w:val="24"/>
        </w:rPr>
        <w:t xml:space="preserve">Lo confermano tutte le organizzazioni di solidarietà sociale che nei mesi scorsi hanno ricevuto un numero di richieste di aiuti materiali ben superiore all’andamento storico: </w:t>
      </w:r>
      <w:r w:rsidR="000E6A00">
        <w:rPr>
          <w:rFonts w:cstheme="minorHAnsi"/>
          <w:sz w:val="24"/>
          <w:szCs w:val="24"/>
        </w:rPr>
        <w:t>«</w:t>
      </w:r>
      <w:r w:rsidRPr="00B951AC">
        <w:rPr>
          <w:sz w:val="24"/>
          <w:szCs w:val="24"/>
        </w:rPr>
        <w:t xml:space="preserve">analizzando il periodo maggio-settembre del 2020 e confrontandolo con lo stesso periodo del 2019 emerge che l’incidenza dei nuovi poveri passa dal 31% al 45% e che quasi una persona su due per la prima volta necessita di aiuti materiali. Sembra dunque </w:t>
      </w:r>
      <w:r w:rsidRPr="000E6A00">
        <w:rPr>
          <w:b/>
          <w:bCs/>
          <w:sz w:val="24"/>
          <w:szCs w:val="24"/>
        </w:rPr>
        <w:t>profilarsi il tempo di una grave recessione economica che diventerà terreno fertile per la nascita di nuove forme di povertà, proprio come avvenuto dopo la crisi del 2008</w:t>
      </w:r>
      <w:r w:rsidR="000E6A00">
        <w:rPr>
          <w:rFonts w:cstheme="minorHAnsi"/>
          <w:sz w:val="24"/>
          <w:szCs w:val="24"/>
        </w:rPr>
        <w:t>»</w:t>
      </w:r>
      <w:r w:rsidRPr="00B951AC">
        <w:rPr>
          <w:sz w:val="24"/>
          <w:szCs w:val="24"/>
        </w:rPr>
        <w:t xml:space="preserve"> (Caritas, 2020).</w:t>
      </w:r>
      <w:r w:rsidR="00B836AF">
        <w:rPr>
          <w:sz w:val="24"/>
          <w:szCs w:val="24"/>
        </w:rPr>
        <w:br/>
      </w:r>
    </w:p>
    <w:p w14:paraId="7775CFDD" w14:textId="44364A75" w:rsidR="00B836AF" w:rsidRDefault="00B836AF" w:rsidP="000A0944">
      <w:pPr>
        <w:spacing w:line="360" w:lineRule="auto"/>
        <w:rPr>
          <w:sz w:val="24"/>
          <w:szCs w:val="24"/>
        </w:rPr>
      </w:pPr>
      <w:r w:rsidRPr="00B836AF">
        <w:rPr>
          <w:b/>
          <w:bCs/>
          <w:sz w:val="24"/>
          <w:szCs w:val="24"/>
        </w:rPr>
        <w:lastRenderedPageBreak/>
        <w:t>La povertà sanitaria e farmaceutica in Italia</w:t>
      </w:r>
      <w:r>
        <w:rPr>
          <w:sz w:val="24"/>
          <w:szCs w:val="24"/>
        </w:rPr>
        <w:t>.</w:t>
      </w:r>
    </w:p>
    <w:p w14:paraId="2CB975AC" w14:textId="77777777" w:rsidR="00C911C3" w:rsidRDefault="000A0944" w:rsidP="000A0944">
      <w:pPr>
        <w:spacing w:line="360" w:lineRule="auto"/>
        <w:rPr>
          <w:sz w:val="24"/>
          <w:szCs w:val="24"/>
        </w:rPr>
      </w:pPr>
      <w:r w:rsidRPr="00B951AC">
        <w:rPr>
          <w:sz w:val="24"/>
          <w:szCs w:val="24"/>
        </w:rPr>
        <w:t xml:space="preserve">La povertà economica rende più problematico l’affronto della povertà di salute. </w:t>
      </w:r>
      <w:r w:rsidRPr="00B836AF">
        <w:rPr>
          <w:b/>
          <w:bCs/>
          <w:sz w:val="24"/>
          <w:szCs w:val="24"/>
        </w:rPr>
        <w:t>In Italia le persone indigenti possono permettersi una spesa sanitaria pro-capite equivalente a 1/6 (16%) di quella sostenuta dalle persone non povere</w:t>
      </w:r>
      <w:r w:rsidRPr="00B951AC">
        <w:rPr>
          <w:sz w:val="24"/>
          <w:szCs w:val="24"/>
        </w:rPr>
        <w:t>. Il contenimento della spesa sanitaria viene perseguito dalle famiglie povere soprattutto limitando il numero delle visite e degli accertamenti a scopo diagnostico e preventivo.</w:t>
      </w:r>
      <w:r w:rsidR="00B836AF">
        <w:rPr>
          <w:sz w:val="24"/>
          <w:szCs w:val="24"/>
        </w:rPr>
        <w:br/>
      </w:r>
      <w:r w:rsidR="00B836AF">
        <w:rPr>
          <w:sz w:val="24"/>
          <w:szCs w:val="24"/>
        </w:rPr>
        <w:br/>
      </w:r>
      <w:r w:rsidR="00B836AF">
        <w:rPr>
          <w:rFonts w:cstheme="minorHAnsi"/>
          <w:sz w:val="24"/>
          <w:szCs w:val="24"/>
        </w:rPr>
        <w:t>«</w:t>
      </w:r>
      <w:r w:rsidRPr="00B951AC">
        <w:rPr>
          <w:sz w:val="24"/>
          <w:szCs w:val="24"/>
        </w:rPr>
        <w:t xml:space="preserve">Si crea così un </w:t>
      </w:r>
      <w:r w:rsidRPr="00B836AF">
        <w:rPr>
          <w:b/>
          <w:bCs/>
          <w:sz w:val="24"/>
          <w:szCs w:val="24"/>
        </w:rPr>
        <w:t>circolo vizioso</w:t>
      </w:r>
      <w:r w:rsidRPr="00B951AC">
        <w:rPr>
          <w:sz w:val="24"/>
          <w:szCs w:val="24"/>
        </w:rPr>
        <w:t xml:space="preserve"> </w:t>
      </w:r>
      <w:r w:rsidR="00B836AF">
        <w:rPr>
          <w:sz w:val="24"/>
          <w:szCs w:val="24"/>
        </w:rPr>
        <w:t xml:space="preserve">– precisa Cella – </w:t>
      </w:r>
      <w:r w:rsidRPr="00B951AC">
        <w:rPr>
          <w:sz w:val="24"/>
          <w:szCs w:val="24"/>
        </w:rPr>
        <w:t xml:space="preserve">che incrementa ulteriormente il carico di malattia che già affligge la parte svantaggiata della popolazione. Molti studi hanno indagato </w:t>
      </w:r>
      <w:r w:rsidRPr="00B836AF">
        <w:rPr>
          <w:b/>
          <w:bCs/>
          <w:sz w:val="24"/>
          <w:szCs w:val="24"/>
        </w:rPr>
        <w:t>il legame tra povertà, contesto ambientale e malattia ed hanno dimostrato che la carenza cronica di beni primari si associa ad una aumentata frequenza di molte condizioni patologiche</w:t>
      </w:r>
      <w:r w:rsidRPr="00B951AC">
        <w:rPr>
          <w:sz w:val="24"/>
          <w:szCs w:val="24"/>
        </w:rPr>
        <w:t xml:space="preserve"> come l’asma bronchiale (</w:t>
      </w:r>
      <w:proofErr w:type="spellStart"/>
      <w:r w:rsidRPr="00B951AC">
        <w:rPr>
          <w:sz w:val="24"/>
          <w:szCs w:val="24"/>
        </w:rPr>
        <w:t>Peat</w:t>
      </w:r>
      <w:proofErr w:type="spellEnd"/>
      <w:r w:rsidRPr="00B951AC">
        <w:rPr>
          <w:sz w:val="24"/>
          <w:szCs w:val="24"/>
        </w:rPr>
        <w:t xml:space="preserve"> et al., 1998), i disturbi gastroenterici (Shaw, 2004), l’ipertensione, le dislipidemie e le patologie cardiovascolari (</w:t>
      </w:r>
      <w:proofErr w:type="spellStart"/>
      <w:r w:rsidRPr="00B951AC">
        <w:rPr>
          <w:sz w:val="24"/>
          <w:szCs w:val="24"/>
        </w:rPr>
        <w:t>Diez</w:t>
      </w:r>
      <w:proofErr w:type="spellEnd"/>
      <w:r w:rsidRPr="00B951AC">
        <w:rPr>
          <w:sz w:val="24"/>
          <w:szCs w:val="24"/>
        </w:rPr>
        <w:t xml:space="preserve"> Roux, 2003; </w:t>
      </w:r>
      <w:proofErr w:type="spellStart"/>
      <w:r w:rsidRPr="00B951AC">
        <w:rPr>
          <w:sz w:val="24"/>
          <w:szCs w:val="24"/>
        </w:rPr>
        <w:t>Diez</w:t>
      </w:r>
      <w:proofErr w:type="spellEnd"/>
      <w:r w:rsidRPr="00B951AC">
        <w:rPr>
          <w:sz w:val="24"/>
          <w:szCs w:val="24"/>
        </w:rPr>
        <w:t xml:space="preserve"> Roux et al., 2001), il diabete mellito di tipo 2 (</w:t>
      </w:r>
      <w:proofErr w:type="spellStart"/>
      <w:r w:rsidRPr="00B951AC">
        <w:rPr>
          <w:sz w:val="24"/>
          <w:szCs w:val="24"/>
        </w:rPr>
        <w:t>Agardh</w:t>
      </w:r>
      <w:proofErr w:type="spellEnd"/>
      <w:r w:rsidRPr="00B951AC">
        <w:rPr>
          <w:sz w:val="24"/>
          <w:szCs w:val="24"/>
        </w:rPr>
        <w:t xml:space="preserve"> et al, 2011) ed </w:t>
      </w:r>
      <w:r w:rsidRPr="00B836AF">
        <w:rPr>
          <w:b/>
          <w:bCs/>
          <w:sz w:val="24"/>
          <w:szCs w:val="24"/>
        </w:rPr>
        <w:t>un eccesso di mortalità nel periodo invernale</w:t>
      </w:r>
      <w:r w:rsidRPr="00B951AC">
        <w:rPr>
          <w:sz w:val="24"/>
          <w:szCs w:val="24"/>
        </w:rPr>
        <w:t xml:space="preserve"> (Fowler et al., 2015)</w:t>
      </w:r>
      <w:r w:rsidR="00B836AF">
        <w:rPr>
          <w:rFonts w:cstheme="minorHAnsi"/>
          <w:sz w:val="24"/>
          <w:szCs w:val="24"/>
        </w:rPr>
        <w:t>»</w:t>
      </w:r>
      <w:r w:rsidRPr="00B951AC">
        <w:rPr>
          <w:sz w:val="24"/>
          <w:szCs w:val="24"/>
        </w:rPr>
        <w:t>.</w:t>
      </w:r>
      <w:r w:rsidR="00B836AF">
        <w:rPr>
          <w:sz w:val="24"/>
          <w:szCs w:val="24"/>
        </w:rPr>
        <w:br/>
      </w:r>
      <w:r w:rsidR="00B836AF">
        <w:rPr>
          <w:sz w:val="24"/>
          <w:szCs w:val="24"/>
        </w:rPr>
        <w:br/>
      </w:r>
      <w:r w:rsidRPr="00B951AC">
        <w:rPr>
          <w:sz w:val="24"/>
          <w:szCs w:val="24"/>
        </w:rPr>
        <w:t>L’analisi dei grandi database sanitari di molte nazioni europee ha dimostrato inequivocabilmente che le malattie croniche non trasmissibili (Non-</w:t>
      </w:r>
      <w:proofErr w:type="spellStart"/>
      <w:r w:rsidRPr="00B951AC">
        <w:rPr>
          <w:sz w:val="24"/>
          <w:szCs w:val="24"/>
        </w:rPr>
        <w:t>Communicable</w:t>
      </w:r>
      <w:proofErr w:type="spellEnd"/>
      <w:r w:rsidRPr="00B951AC">
        <w:rPr>
          <w:sz w:val="24"/>
          <w:szCs w:val="24"/>
        </w:rPr>
        <w:t xml:space="preserve"> </w:t>
      </w:r>
      <w:proofErr w:type="spellStart"/>
      <w:r w:rsidRPr="00B951AC">
        <w:rPr>
          <w:sz w:val="24"/>
          <w:szCs w:val="24"/>
        </w:rPr>
        <w:t>Chronic</w:t>
      </w:r>
      <w:proofErr w:type="spellEnd"/>
      <w:r w:rsidRPr="00B951AC">
        <w:rPr>
          <w:sz w:val="24"/>
          <w:szCs w:val="24"/>
        </w:rPr>
        <w:t xml:space="preserve"> </w:t>
      </w:r>
      <w:proofErr w:type="spellStart"/>
      <w:r w:rsidRPr="00B951AC">
        <w:rPr>
          <w:sz w:val="24"/>
          <w:szCs w:val="24"/>
        </w:rPr>
        <w:t>Diseases</w:t>
      </w:r>
      <w:proofErr w:type="spellEnd"/>
      <w:r w:rsidRPr="00B951AC">
        <w:rPr>
          <w:sz w:val="24"/>
          <w:szCs w:val="24"/>
        </w:rPr>
        <w:t xml:space="preserve">, NCD) </w:t>
      </w:r>
      <w:r w:rsidRPr="00B836AF">
        <w:rPr>
          <w:b/>
          <w:bCs/>
          <w:sz w:val="24"/>
          <w:szCs w:val="24"/>
        </w:rPr>
        <w:t>sono estremamente diffuse tra le persone provenienti dai Paesi ad alta pressione migratoria che oltretutto, giunti a destinazione, incontrano ostacoli nell’accedere alle strutture di cura per il timore di essere identificati</w:t>
      </w:r>
      <w:r w:rsidRPr="00B951AC">
        <w:rPr>
          <w:sz w:val="24"/>
          <w:szCs w:val="24"/>
        </w:rPr>
        <w:t xml:space="preserve">, per la scarsa conoscenza delle procedure o a causa di barriere linguistiche, culturali o psicologiche. </w:t>
      </w:r>
      <w:r w:rsidR="00B836AF" w:rsidRPr="0070169B">
        <w:rPr>
          <w:b/>
          <w:bCs/>
          <w:sz w:val="24"/>
          <w:szCs w:val="24"/>
        </w:rPr>
        <w:t>Le NCD sono</w:t>
      </w:r>
      <w:r w:rsidR="00B836AF" w:rsidRPr="0070169B">
        <w:rPr>
          <w:b/>
          <w:bCs/>
          <w:sz w:val="24"/>
          <w:szCs w:val="24"/>
        </w:rPr>
        <w:t xml:space="preserve"> malattie non trasmissibili</w:t>
      </w:r>
      <w:r w:rsidR="00B836AF" w:rsidRPr="0070169B">
        <w:rPr>
          <w:b/>
          <w:bCs/>
          <w:sz w:val="24"/>
          <w:szCs w:val="24"/>
        </w:rPr>
        <w:t>, che</w:t>
      </w:r>
      <w:r w:rsidR="00B836AF" w:rsidRPr="0070169B">
        <w:rPr>
          <w:b/>
          <w:bCs/>
          <w:sz w:val="24"/>
          <w:szCs w:val="24"/>
        </w:rPr>
        <w:t xml:space="preserve"> finiscono per esserlo a causa della diffusione del comportamento che ne è alla base</w:t>
      </w:r>
      <w:r w:rsidR="0070169B">
        <w:rPr>
          <w:sz w:val="24"/>
          <w:szCs w:val="24"/>
        </w:rPr>
        <w:t>. Per esempio, il cambio di alimentazione, fumo, alcool e altri comportamenti sociali che incontrano arrivando in Europa.</w:t>
      </w:r>
      <w:r w:rsidR="0070169B">
        <w:rPr>
          <w:sz w:val="24"/>
          <w:szCs w:val="24"/>
        </w:rPr>
        <w:br/>
      </w:r>
      <w:r w:rsidR="0070169B">
        <w:rPr>
          <w:sz w:val="24"/>
          <w:szCs w:val="24"/>
        </w:rPr>
        <w:br/>
      </w:r>
      <w:r w:rsidR="0070169B">
        <w:rPr>
          <w:rFonts w:cstheme="minorHAnsi"/>
          <w:sz w:val="24"/>
          <w:szCs w:val="24"/>
        </w:rPr>
        <w:t>«</w:t>
      </w:r>
      <w:r w:rsidRPr="00B951AC">
        <w:rPr>
          <w:sz w:val="24"/>
          <w:szCs w:val="24"/>
        </w:rPr>
        <w:t xml:space="preserve">Anche </w:t>
      </w:r>
      <w:r w:rsidRPr="00B836AF">
        <w:rPr>
          <w:b/>
          <w:bCs/>
          <w:sz w:val="24"/>
          <w:szCs w:val="24"/>
        </w:rPr>
        <w:t>in Italia le NCD sono estremamente diffuse tra le persone socialmente vulnerabili</w:t>
      </w:r>
      <w:r w:rsidRPr="00B951AC">
        <w:rPr>
          <w:sz w:val="24"/>
          <w:szCs w:val="24"/>
        </w:rPr>
        <w:t xml:space="preserve"> (Fiorini et al, 2016). Tra i fattori responsabili si devono annoverare la globalizzazione dei regimi alimentari </w:t>
      </w:r>
      <w:r w:rsidRPr="00B951AC">
        <w:rPr>
          <w:sz w:val="24"/>
          <w:szCs w:val="24"/>
        </w:rPr>
        <w:lastRenderedPageBreak/>
        <w:t>nocivi, il rapido inurbamento e la povertà</w:t>
      </w:r>
      <w:r w:rsidR="0070169B">
        <w:rPr>
          <w:rFonts w:cstheme="minorHAnsi"/>
          <w:sz w:val="24"/>
          <w:szCs w:val="24"/>
        </w:rPr>
        <w:t>»</w:t>
      </w:r>
      <w:r w:rsidRPr="00B951AC">
        <w:rPr>
          <w:sz w:val="24"/>
          <w:szCs w:val="24"/>
        </w:rPr>
        <w:t xml:space="preserve">. Sulla base di queste osservazioni, nella comunità scientifica è nata una vivace discussione circa la necessità di cambiare la denominazione delle NCD, poiché in realtà </w:t>
      </w:r>
      <w:r w:rsidRPr="0070169B">
        <w:rPr>
          <w:b/>
          <w:bCs/>
          <w:sz w:val="24"/>
          <w:szCs w:val="24"/>
        </w:rPr>
        <w:t>si tratta di malattie con un forte connotato sociale</w:t>
      </w:r>
      <w:r w:rsidRPr="00B951AC">
        <w:rPr>
          <w:sz w:val="24"/>
          <w:szCs w:val="24"/>
        </w:rPr>
        <w:t xml:space="preserve"> (</w:t>
      </w:r>
      <w:proofErr w:type="spellStart"/>
      <w:r w:rsidRPr="00B951AC">
        <w:rPr>
          <w:sz w:val="24"/>
          <w:szCs w:val="24"/>
        </w:rPr>
        <w:t>Christakis</w:t>
      </w:r>
      <w:proofErr w:type="spellEnd"/>
      <w:r w:rsidRPr="00B951AC">
        <w:rPr>
          <w:sz w:val="24"/>
          <w:szCs w:val="24"/>
        </w:rPr>
        <w:t xml:space="preserve"> e Fowler, 2013), che colpiscono soprattutto </w:t>
      </w:r>
      <w:r w:rsidRPr="0070169B">
        <w:rPr>
          <w:b/>
          <w:bCs/>
          <w:sz w:val="24"/>
          <w:szCs w:val="24"/>
        </w:rPr>
        <w:t>chi vive in condizioni di degrado culturale, sociale ed economico</w:t>
      </w:r>
      <w:r w:rsidRPr="00B951AC">
        <w:rPr>
          <w:sz w:val="24"/>
          <w:szCs w:val="24"/>
        </w:rPr>
        <w:t xml:space="preserve"> (Ferdinand et al., 2012). Pertanto, e non con un intento puramente semantico, è stato proposto di definirle “condizioni socialmente trasmesse” (</w:t>
      </w:r>
      <w:proofErr w:type="spellStart"/>
      <w:r w:rsidRPr="00B951AC">
        <w:rPr>
          <w:sz w:val="24"/>
          <w:szCs w:val="24"/>
        </w:rPr>
        <w:t>Socially</w:t>
      </w:r>
      <w:proofErr w:type="spellEnd"/>
      <w:r w:rsidRPr="00B951AC">
        <w:rPr>
          <w:sz w:val="24"/>
          <w:szCs w:val="24"/>
        </w:rPr>
        <w:t xml:space="preserve"> </w:t>
      </w:r>
      <w:proofErr w:type="spellStart"/>
      <w:r w:rsidRPr="00B951AC">
        <w:rPr>
          <w:sz w:val="24"/>
          <w:szCs w:val="24"/>
        </w:rPr>
        <w:t>Transmitted</w:t>
      </w:r>
      <w:proofErr w:type="spellEnd"/>
      <w:r w:rsidRPr="00B951AC">
        <w:rPr>
          <w:sz w:val="24"/>
          <w:szCs w:val="24"/>
        </w:rPr>
        <w:t xml:space="preserve"> </w:t>
      </w:r>
      <w:proofErr w:type="spellStart"/>
      <w:r w:rsidRPr="00B951AC">
        <w:rPr>
          <w:sz w:val="24"/>
          <w:szCs w:val="24"/>
        </w:rPr>
        <w:t>Conditions</w:t>
      </w:r>
      <w:proofErr w:type="spellEnd"/>
      <w:r w:rsidRPr="00B951AC">
        <w:rPr>
          <w:sz w:val="24"/>
          <w:szCs w:val="24"/>
        </w:rPr>
        <w:t xml:space="preserve">) (Allen e </w:t>
      </w:r>
      <w:proofErr w:type="spellStart"/>
      <w:r w:rsidRPr="00B951AC">
        <w:rPr>
          <w:sz w:val="24"/>
          <w:szCs w:val="24"/>
        </w:rPr>
        <w:t>Feigl</w:t>
      </w:r>
      <w:proofErr w:type="spellEnd"/>
      <w:r w:rsidRPr="00B951AC">
        <w:rPr>
          <w:sz w:val="24"/>
          <w:szCs w:val="24"/>
        </w:rPr>
        <w:t xml:space="preserve">, 2017a; Allen e </w:t>
      </w:r>
      <w:proofErr w:type="spellStart"/>
      <w:r w:rsidRPr="00B951AC">
        <w:rPr>
          <w:sz w:val="24"/>
          <w:szCs w:val="24"/>
        </w:rPr>
        <w:t>Feigl</w:t>
      </w:r>
      <w:proofErr w:type="spellEnd"/>
      <w:r w:rsidRPr="00B951AC">
        <w:rPr>
          <w:sz w:val="24"/>
          <w:szCs w:val="24"/>
        </w:rPr>
        <w:t xml:space="preserve">, 2017b; </w:t>
      </w:r>
      <w:proofErr w:type="spellStart"/>
      <w:r w:rsidRPr="00B951AC">
        <w:rPr>
          <w:sz w:val="24"/>
          <w:szCs w:val="24"/>
        </w:rPr>
        <w:t>Kozelka</w:t>
      </w:r>
      <w:proofErr w:type="spellEnd"/>
      <w:r w:rsidRPr="00B951AC">
        <w:rPr>
          <w:sz w:val="24"/>
          <w:szCs w:val="24"/>
        </w:rPr>
        <w:t xml:space="preserve"> e Jenkins, 2017; Lincoln, 2017) per sottolineare che la loro prevenzione non può basarsi principalmente o esclusivamente su interventi personali volti a modificare lo stile di vita dei singoli individui, bensì richiede politiche sanitarie nazionali finalizzate al loro contenimento.</w:t>
      </w:r>
      <w:r w:rsidR="0070169B">
        <w:rPr>
          <w:sz w:val="24"/>
          <w:szCs w:val="24"/>
        </w:rPr>
        <w:br/>
      </w:r>
      <w:r w:rsidR="0070169B">
        <w:rPr>
          <w:sz w:val="24"/>
          <w:szCs w:val="24"/>
        </w:rPr>
        <w:br/>
      </w:r>
      <w:r w:rsidR="0070169B">
        <w:rPr>
          <w:rFonts w:cstheme="minorHAnsi"/>
          <w:sz w:val="24"/>
          <w:szCs w:val="24"/>
        </w:rPr>
        <w:t>«</w:t>
      </w:r>
      <w:r w:rsidRPr="00B951AC">
        <w:rPr>
          <w:sz w:val="24"/>
          <w:szCs w:val="24"/>
        </w:rPr>
        <w:t xml:space="preserve">Per i poveri spesso l’unica possibilità di </w:t>
      </w:r>
      <w:r w:rsidRPr="0070169B">
        <w:rPr>
          <w:b/>
          <w:bCs/>
          <w:sz w:val="24"/>
          <w:szCs w:val="24"/>
        </w:rPr>
        <w:t>ricevere gratuitamente assistenza medica</w:t>
      </w:r>
      <w:r w:rsidRPr="00B951AC">
        <w:rPr>
          <w:sz w:val="24"/>
          <w:szCs w:val="24"/>
        </w:rPr>
        <w:t xml:space="preserve"> primaria e terapie farmacologiche </w:t>
      </w:r>
      <w:r w:rsidR="0070169B">
        <w:rPr>
          <w:sz w:val="24"/>
          <w:szCs w:val="24"/>
        </w:rPr>
        <w:t xml:space="preserve">– precisa il Professore – </w:t>
      </w:r>
      <w:r w:rsidRPr="00B951AC">
        <w:rPr>
          <w:sz w:val="24"/>
          <w:szCs w:val="24"/>
        </w:rPr>
        <w:t xml:space="preserve">è rappresentata dagli </w:t>
      </w:r>
      <w:r w:rsidRPr="0070169B">
        <w:rPr>
          <w:b/>
          <w:bCs/>
          <w:sz w:val="24"/>
          <w:szCs w:val="24"/>
        </w:rPr>
        <w:t>ambulatori degli Enti Caritativi diffusamente presenti sul territorio</w:t>
      </w:r>
      <w:r w:rsidRPr="00B951AC">
        <w:rPr>
          <w:sz w:val="24"/>
          <w:szCs w:val="24"/>
        </w:rPr>
        <w:t>, che svolgono un ruolo sussidiario fondamentale, integrandosi o sostituendosi efficacemente all’intervento pubblico qualora quest’ultimo non sia in grado di fornire una risposta adeguata al bisogno di salute</w:t>
      </w:r>
      <w:r w:rsidR="0070169B">
        <w:rPr>
          <w:rFonts w:cstheme="minorHAnsi"/>
          <w:sz w:val="24"/>
          <w:szCs w:val="24"/>
        </w:rPr>
        <w:t>»</w:t>
      </w:r>
      <w:r w:rsidRPr="00B951AC">
        <w:rPr>
          <w:sz w:val="24"/>
          <w:szCs w:val="24"/>
        </w:rPr>
        <w:t>.</w:t>
      </w:r>
      <w:r w:rsidR="0070169B">
        <w:rPr>
          <w:sz w:val="24"/>
          <w:szCs w:val="24"/>
        </w:rPr>
        <w:br/>
      </w:r>
      <w:r w:rsidR="0070169B">
        <w:rPr>
          <w:sz w:val="24"/>
          <w:szCs w:val="24"/>
        </w:rPr>
        <w:br/>
      </w:r>
      <w:r w:rsidRPr="00B951AC">
        <w:rPr>
          <w:sz w:val="24"/>
          <w:szCs w:val="24"/>
        </w:rPr>
        <w:t xml:space="preserve">Tra le necessità fondamentali delle persone povere c’è anche quello di poter accedere alle terapie farmacologiche. Infatti, analizzando la composizione della spesa per tipo di prestazione, dal report Istat emerge che </w:t>
      </w:r>
      <w:r w:rsidRPr="0070169B">
        <w:rPr>
          <w:b/>
          <w:bCs/>
          <w:sz w:val="24"/>
          <w:szCs w:val="24"/>
        </w:rPr>
        <w:t>nel 2019 gli indigenti hanno destinato la maggior parte (63%) del loro budget sanitario all’acquisto di farmaci, diversamente dalle persone non povere per le quali questa voce rappresentava una parte minoritaria della spesa destinata alla salute</w:t>
      </w:r>
      <w:r w:rsidRPr="00B951AC">
        <w:rPr>
          <w:sz w:val="24"/>
          <w:szCs w:val="24"/>
        </w:rPr>
        <w:t xml:space="preserve"> (Istat, 2020). </w:t>
      </w:r>
      <w:r w:rsidR="0070169B">
        <w:rPr>
          <w:sz w:val="24"/>
          <w:szCs w:val="24"/>
        </w:rPr>
        <w:br/>
      </w:r>
      <w:r w:rsidR="0070169B">
        <w:rPr>
          <w:sz w:val="24"/>
          <w:szCs w:val="24"/>
        </w:rPr>
        <w:br/>
      </w:r>
      <w:r w:rsidRPr="00B951AC">
        <w:rPr>
          <w:sz w:val="24"/>
          <w:szCs w:val="24"/>
        </w:rPr>
        <w:t xml:space="preserve">Per soddisfare questa esigenza, gli Enti Caritativi si avvalgono soprattutto delle </w:t>
      </w:r>
      <w:r w:rsidRPr="0070169B">
        <w:rPr>
          <w:b/>
          <w:bCs/>
          <w:sz w:val="24"/>
          <w:szCs w:val="24"/>
        </w:rPr>
        <w:t>donazioni da parte di Organizzazioni non profit come il Banco Farmaceutico</w:t>
      </w:r>
      <w:r w:rsidRPr="00B951AC">
        <w:rPr>
          <w:sz w:val="24"/>
          <w:szCs w:val="24"/>
        </w:rPr>
        <w:t xml:space="preserve"> (BF). Alla raccolta dei medicinali da parte di BF concorrono tre principali attori: le Aziende produttrici con le loro donazioni, la Giornata Nazionale di Raccolta del Farmaco che si svolge annualmente nelle Farmacie che aderiscono </w:t>
      </w:r>
      <w:r w:rsidRPr="00B951AC">
        <w:rPr>
          <w:sz w:val="24"/>
          <w:szCs w:val="24"/>
        </w:rPr>
        <w:lastRenderedPageBreak/>
        <w:t>all’iniziativa ed il recupero dei farmaci ancora validi. L’anello di congiunzione con i destinatari finali è rappresentato dagli Enti Caritativi convenzionati con BF che nel 2019 hanno raggiunto le 1.844 unità, con una leggera crescita rispetto all’anno precedente (+4,4%).</w:t>
      </w:r>
    </w:p>
    <w:p w14:paraId="50A805CB" w14:textId="3F4DF4E9" w:rsidR="000A0944" w:rsidRPr="00B951AC" w:rsidRDefault="00853930" w:rsidP="000A0944">
      <w:pPr>
        <w:spacing w:line="360" w:lineRule="auto"/>
        <w:rPr>
          <w:sz w:val="24"/>
          <w:szCs w:val="24"/>
        </w:rPr>
      </w:pPr>
      <w:r w:rsidRPr="00853930">
        <w:rPr>
          <w:b/>
          <w:bCs/>
          <w:sz w:val="24"/>
          <w:szCs w:val="24"/>
        </w:rPr>
        <w:t>I bisogni di salute della popolazione povera</w:t>
      </w:r>
      <w:r>
        <w:rPr>
          <w:sz w:val="24"/>
          <w:szCs w:val="24"/>
        </w:rPr>
        <w:t>.</w:t>
      </w:r>
    </w:p>
    <w:p w14:paraId="4FB5E56D" w14:textId="1538BD16" w:rsidR="00401F24" w:rsidRDefault="000A0944" w:rsidP="000A0944">
      <w:pPr>
        <w:spacing w:line="360" w:lineRule="auto"/>
        <w:rPr>
          <w:sz w:val="24"/>
          <w:szCs w:val="24"/>
        </w:rPr>
      </w:pPr>
      <w:r w:rsidRPr="00B951AC">
        <w:rPr>
          <w:sz w:val="24"/>
          <w:szCs w:val="24"/>
        </w:rPr>
        <w:t>Gli ambulatori degli Enti Caritativi sono anche i principali depositari di informazioni attendibili sullo stato di salute dei poveri e dei migranti privi di permesso di soggiorno che, avendo solo contatti occasionali col SSN, di fatto eludono le usuali indagini epidemiologiche.</w:t>
      </w:r>
      <w:r w:rsidR="00B259B1">
        <w:rPr>
          <w:sz w:val="24"/>
          <w:szCs w:val="24"/>
        </w:rPr>
        <w:t xml:space="preserve"> </w:t>
      </w:r>
      <w:r w:rsidRPr="00B951AC">
        <w:rPr>
          <w:sz w:val="24"/>
          <w:szCs w:val="24"/>
        </w:rPr>
        <w:t xml:space="preserve">L’analisi dei database di uno dei maggiori Enti Caritativi italiani (Opera san Francesco, OSF) con sede a Milano conferma che le NCD rappresentano un rilevante carico di malattia per le persone disagiate. Se si considera il periodo 2011-2018 emerge che il quadro epidemiologico di questa popolazione è in fase di evoluzione: </w:t>
      </w:r>
      <w:r w:rsidRPr="00C911C3">
        <w:rPr>
          <w:b/>
          <w:bCs/>
          <w:sz w:val="24"/>
          <w:szCs w:val="24"/>
        </w:rPr>
        <w:t>mentre alcune NCD mantengono una frequenza elevata ma relativamente stabile nel tempo, altre come il diabete e le patologie cardiovascolari sono in costante e preoccupante aumento</w:t>
      </w:r>
      <w:r w:rsidRPr="00B951AC">
        <w:rPr>
          <w:sz w:val="24"/>
          <w:szCs w:val="24"/>
        </w:rPr>
        <w:t xml:space="preserve"> (Tabella 1).</w:t>
      </w:r>
    </w:p>
    <w:tbl>
      <w:tblPr>
        <w:tblW w:w="9569" w:type="dxa"/>
        <w:jc w:val="center"/>
        <w:tblCellMar>
          <w:left w:w="70" w:type="dxa"/>
          <w:right w:w="70" w:type="dxa"/>
        </w:tblCellMar>
        <w:tblLook w:val="04A0" w:firstRow="1" w:lastRow="0" w:firstColumn="1" w:lastColumn="0" w:noHBand="0" w:noVBand="1"/>
      </w:tblPr>
      <w:tblGrid>
        <w:gridCol w:w="605"/>
        <w:gridCol w:w="898"/>
        <w:gridCol w:w="1020"/>
        <w:gridCol w:w="825"/>
        <w:gridCol w:w="862"/>
        <w:gridCol w:w="874"/>
        <w:gridCol w:w="874"/>
        <w:gridCol w:w="1301"/>
        <w:gridCol w:w="1301"/>
        <w:gridCol w:w="1009"/>
      </w:tblGrid>
      <w:tr w:rsidR="00B259B1" w:rsidRPr="00B259B1" w14:paraId="3035EAFE" w14:textId="77777777" w:rsidTr="00420BCB">
        <w:trPr>
          <w:trHeight w:val="915"/>
          <w:jc w:val="center"/>
        </w:trPr>
        <w:tc>
          <w:tcPr>
            <w:tcW w:w="605" w:type="dxa"/>
            <w:tcBorders>
              <w:top w:val="single" w:sz="8" w:space="0" w:color="auto"/>
              <w:left w:val="nil"/>
              <w:bottom w:val="single" w:sz="8" w:space="0" w:color="auto"/>
              <w:right w:val="nil"/>
            </w:tcBorders>
            <w:shd w:val="clear" w:color="auto" w:fill="auto"/>
            <w:vAlign w:val="center"/>
            <w:hideMark/>
          </w:tcPr>
          <w:p w14:paraId="60008BA0" w14:textId="77777777" w:rsidR="00B259B1" w:rsidRPr="00B259B1" w:rsidRDefault="00B259B1" w:rsidP="00B259B1">
            <w:pPr>
              <w:spacing w:after="0" w:line="360" w:lineRule="auto"/>
              <w:jc w:val="center"/>
              <w:rPr>
                <w:rFonts w:eastAsia="Times New Roman" w:cstheme="minorHAnsi"/>
                <w:color w:val="000000"/>
                <w:sz w:val="20"/>
                <w:szCs w:val="20"/>
                <w:lang w:eastAsia="it-IT"/>
              </w:rPr>
            </w:pPr>
          </w:p>
        </w:tc>
        <w:tc>
          <w:tcPr>
            <w:tcW w:w="898" w:type="dxa"/>
            <w:tcBorders>
              <w:top w:val="single" w:sz="8" w:space="0" w:color="auto"/>
              <w:left w:val="nil"/>
              <w:bottom w:val="single" w:sz="8" w:space="0" w:color="auto"/>
              <w:right w:val="nil"/>
            </w:tcBorders>
            <w:shd w:val="clear" w:color="auto" w:fill="auto"/>
            <w:vAlign w:val="center"/>
            <w:hideMark/>
          </w:tcPr>
          <w:p w14:paraId="0FF9615A" w14:textId="77777777" w:rsidR="00B259B1" w:rsidRPr="00B259B1" w:rsidRDefault="00B259B1" w:rsidP="00B259B1">
            <w:pPr>
              <w:spacing w:after="0" w:line="360" w:lineRule="auto"/>
              <w:jc w:val="center"/>
              <w:rPr>
                <w:rFonts w:eastAsia="Times New Roman" w:cstheme="minorHAnsi"/>
                <w:color w:val="000000"/>
                <w:sz w:val="20"/>
                <w:szCs w:val="20"/>
                <w:lang w:eastAsia="it-IT"/>
              </w:rPr>
            </w:pPr>
            <w:r w:rsidRPr="00B259B1">
              <w:rPr>
                <w:rFonts w:eastAsia="Times New Roman" w:cstheme="minorHAnsi"/>
                <w:color w:val="000000"/>
                <w:sz w:val="20"/>
                <w:szCs w:val="20"/>
                <w:lang w:eastAsia="it-IT"/>
              </w:rPr>
              <w:t>Malattie infettive croniche</w:t>
            </w:r>
          </w:p>
        </w:tc>
        <w:tc>
          <w:tcPr>
            <w:tcW w:w="1020" w:type="dxa"/>
            <w:tcBorders>
              <w:top w:val="single" w:sz="8" w:space="0" w:color="auto"/>
              <w:left w:val="nil"/>
              <w:bottom w:val="single" w:sz="8" w:space="0" w:color="auto"/>
              <w:right w:val="nil"/>
            </w:tcBorders>
            <w:shd w:val="clear" w:color="auto" w:fill="auto"/>
            <w:vAlign w:val="center"/>
            <w:hideMark/>
          </w:tcPr>
          <w:p w14:paraId="6D188692" w14:textId="77777777" w:rsidR="00B259B1" w:rsidRPr="00B259B1" w:rsidRDefault="00B259B1" w:rsidP="00B259B1">
            <w:pPr>
              <w:spacing w:after="0" w:line="360" w:lineRule="auto"/>
              <w:jc w:val="center"/>
              <w:rPr>
                <w:rFonts w:eastAsia="Times New Roman" w:cstheme="minorHAnsi"/>
                <w:color w:val="000000"/>
                <w:sz w:val="20"/>
                <w:szCs w:val="20"/>
                <w:lang w:eastAsia="it-IT"/>
              </w:rPr>
            </w:pPr>
            <w:r w:rsidRPr="00B259B1">
              <w:rPr>
                <w:rFonts w:eastAsia="Times New Roman" w:cstheme="minorHAnsi"/>
                <w:color w:val="000000"/>
                <w:sz w:val="20"/>
                <w:szCs w:val="20"/>
                <w:lang w:eastAsia="it-IT"/>
              </w:rPr>
              <w:t>Neoplasie</w:t>
            </w:r>
          </w:p>
        </w:tc>
        <w:tc>
          <w:tcPr>
            <w:tcW w:w="825" w:type="dxa"/>
            <w:tcBorders>
              <w:top w:val="single" w:sz="8" w:space="0" w:color="auto"/>
              <w:left w:val="nil"/>
              <w:bottom w:val="single" w:sz="8" w:space="0" w:color="auto"/>
              <w:right w:val="nil"/>
            </w:tcBorders>
            <w:shd w:val="clear" w:color="auto" w:fill="auto"/>
            <w:vAlign w:val="center"/>
            <w:hideMark/>
          </w:tcPr>
          <w:p w14:paraId="60EF76D0" w14:textId="77777777" w:rsidR="00B259B1" w:rsidRPr="00B259B1" w:rsidRDefault="00B259B1" w:rsidP="00B259B1">
            <w:pPr>
              <w:spacing w:after="0" w:line="360" w:lineRule="auto"/>
              <w:jc w:val="center"/>
              <w:rPr>
                <w:rFonts w:eastAsia="Times New Roman" w:cstheme="minorHAnsi"/>
                <w:color w:val="000000"/>
                <w:sz w:val="20"/>
                <w:szCs w:val="20"/>
                <w:lang w:eastAsia="it-IT"/>
              </w:rPr>
            </w:pPr>
            <w:r w:rsidRPr="00B259B1">
              <w:rPr>
                <w:rFonts w:eastAsia="Times New Roman" w:cstheme="minorHAnsi"/>
                <w:color w:val="000000"/>
                <w:sz w:val="20"/>
                <w:szCs w:val="20"/>
                <w:lang w:eastAsia="it-IT"/>
              </w:rPr>
              <w:t>Diabete</w:t>
            </w:r>
          </w:p>
        </w:tc>
        <w:tc>
          <w:tcPr>
            <w:tcW w:w="862" w:type="dxa"/>
            <w:tcBorders>
              <w:top w:val="single" w:sz="8" w:space="0" w:color="auto"/>
              <w:left w:val="nil"/>
              <w:bottom w:val="single" w:sz="8" w:space="0" w:color="auto"/>
              <w:right w:val="nil"/>
            </w:tcBorders>
            <w:shd w:val="clear" w:color="auto" w:fill="auto"/>
            <w:vAlign w:val="center"/>
            <w:hideMark/>
          </w:tcPr>
          <w:p w14:paraId="5DADF96E" w14:textId="77777777" w:rsidR="00B259B1" w:rsidRPr="00B259B1" w:rsidRDefault="00B259B1" w:rsidP="00B259B1">
            <w:pPr>
              <w:spacing w:after="0" w:line="360" w:lineRule="auto"/>
              <w:jc w:val="center"/>
              <w:rPr>
                <w:rFonts w:eastAsia="Times New Roman" w:cstheme="minorHAnsi"/>
                <w:color w:val="000000"/>
                <w:sz w:val="20"/>
                <w:szCs w:val="20"/>
                <w:lang w:eastAsia="it-IT"/>
              </w:rPr>
            </w:pPr>
            <w:r w:rsidRPr="00B259B1">
              <w:rPr>
                <w:rFonts w:eastAsia="Times New Roman" w:cstheme="minorHAnsi"/>
                <w:color w:val="000000"/>
                <w:sz w:val="20"/>
                <w:szCs w:val="20"/>
                <w:lang w:eastAsia="it-IT"/>
              </w:rPr>
              <w:t>Disturbi mentali</w:t>
            </w:r>
          </w:p>
        </w:tc>
        <w:tc>
          <w:tcPr>
            <w:tcW w:w="874" w:type="dxa"/>
            <w:tcBorders>
              <w:top w:val="single" w:sz="8" w:space="0" w:color="auto"/>
              <w:left w:val="nil"/>
              <w:bottom w:val="single" w:sz="8" w:space="0" w:color="auto"/>
              <w:right w:val="nil"/>
            </w:tcBorders>
            <w:shd w:val="clear" w:color="auto" w:fill="auto"/>
            <w:vAlign w:val="center"/>
            <w:hideMark/>
          </w:tcPr>
          <w:p w14:paraId="7646D211" w14:textId="77777777" w:rsidR="00B259B1" w:rsidRPr="00B259B1" w:rsidRDefault="00B259B1" w:rsidP="00B259B1">
            <w:pPr>
              <w:spacing w:after="0" w:line="360" w:lineRule="auto"/>
              <w:jc w:val="center"/>
              <w:rPr>
                <w:rFonts w:eastAsia="Times New Roman" w:cstheme="minorHAnsi"/>
                <w:color w:val="000000"/>
                <w:sz w:val="20"/>
                <w:szCs w:val="20"/>
                <w:lang w:eastAsia="it-IT"/>
              </w:rPr>
            </w:pPr>
            <w:r w:rsidRPr="00B259B1">
              <w:rPr>
                <w:rFonts w:eastAsia="Times New Roman" w:cstheme="minorHAnsi"/>
                <w:color w:val="000000"/>
                <w:sz w:val="20"/>
                <w:szCs w:val="20"/>
                <w:lang w:eastAsia="it-IT"/>
              </w:rPr>
              <w:t>Malattie del sistema nervoso</w:t>
            </w:r>
          </w:p>
        </w:tc>
        <w:tc>
          <w:tcPr>
            <w:tcW w:w="874" w:type="dxa"/>
            <w:tcBorders>
              <w:top w:val="single" w:sz="8" w:space="0" w:color="auto"/>
              <w:left w:val="nil"/>
              <w:bottom w:val="single" w:sz="8" w:space="0" w:color="auto"/>
              <w:right w:val="nil"/>
            </w:tcBorders>
            <w:shd w:val="clear" w:color="auto" w:fill="auto"/>
            <w:vAlign w:val="center"/>
            <w:hideMark/>
          </w:tcPr>
          <w:p w14:paraId="15F5BF9A" w14:textId="77777777" w:rsidR="00B259B1" w:rsidRPr="00B259B1" w:rsidRDefault="00B259B1" w:rsidP="00B259B1">
            <w:pPr>
              <w:spacing w:after="0" w:line="360" w:lineRule="auto"/>
              <w:jc w:val="center"/>
              <w:rPr>
                <w:rFonts w:eastAsia="Times New Roman" w:cstheme="minorHAnsi"/>
                <w:color w:val="000000"/>
                <w:sz w:val="20"/>
                <w:szCs w:val="20"/>
                <w:lang w:eastAsia="it-IT"/>
              </w:rPr>
            </w:pPr>
            <w:r w:rsidRPr="00B259B1">
              <w:rPr>
                <w:rFonts w:eastAsia="Times New Roman" w:cstheme="minorHAnsi"/>
                <w:color w:val="000000"/>
                <w:sz w:val="20"/>
                <w:szCs w:val="20"/>
                <w:lang w:eastAsia="it-IT"/>
              </w:rPr>
              <w:t>Malattie del cuore e dei vasi</w:t>
            </w:r>
          </w:p>
        </w:tc>
        <w:tc>
          <w:tcPr>
            <w:tcW w:w="1301" w:type="dxa"/>
            <w:tcBorders>
              <w:top w:val="single" w:sz="8" w:space="0" w:color="auto"/>
              <w:left w:val="nil"/>
              <w:bottom w:val="single" w:sz="8" w:space="0" w:color="auto"/>
              <w:right w:val="nil"/>
            </w:tcBorders>
            <w:shd w:val="clear" w:color="auto" w:fill="auto"/>
            <w:vAlign w:val="center"/>
            <w:hideMark/>
          </w:tcPr>
          <w:p w14:paraId="0FC4404E" w14:textId="77777777" w:rsidR="00B259B1" w:rsidRPr="00B259B1" w:rsidRDefault="00B259B1" w:rsidP="00B259B1">
            <w:pPr>
              <w:spacing w:after="0" w:line="360" w:lineRule="auto"/>
              <w:jc w:val="center"/>
              <w:rPr>
                <w:rFonts w:eastAsia="Times New Roman" w:cstheme="minorHAnsi"/>
                <w:color w:val="000000"/>
                <w:sz w:val="20"/>
                <w:szCs w:val="20"/>
                <w:lang w:eastAsia="it-IT"/>
              </w:rPr>
            </w:pPr>
            <w:r w:rsidRPr="00B259B1">
              <w:rPr>
                <w:rFonts w:eastAsia="Times New Roman" w:cstheme="minorHAnsi"/>
                <w:color w:val="000000"/>
                <w:sz w:val="20"/>
                <w:szCs w:val="20"/>
                <w:lang w:eastAsia="it-IT"/>
              </w:rPr>
              <w:t>Malattie dell’apparato respiratorio</w:t>
            </w:r>
          </w:p>
        </w:tc>
        <w:tc>
          <w:tcPr>
            <w:tcW w:w="1301" w:type="dxa"/>
            <w:tcBorders>
              <w:top w:val="single" w:sz="8" w:space="0" w:color="auto"/>
              <w:left w:val="nil"/>
              <w:bottom w:val="single" w:sz="8" w:space="0" w:color="auto"/>
              <w:right w:val="nil"/>
            </w:tcBorders>
            <w:shd w:val="clear" w:color="auto" w:fill="auto"/>
            <w:vAlign w:val="center"/>
            <w:hideMark/>
          </w:tcPr>
          <w:p w14:paraId="76E39D24" w14:textId="77777777" w:rsidR="00B259B1" w:rsidRPr="00B259B1" w:rsidRDefault="00B259B1" w:rsidP="00B259B1">
            <w:pPr>
              <w:spacing w:after="0" w:line="360" w:lineRule="auto"/>
              <w:jc w:val="center"/>
              <w:rPr>
                <w:rFonts w:eastAsia="Times New Roman" w:cstheme="minorHAnsi"/>
                <w:color w:val="000000"/>
                <w:sz w:val="20"/>
                <w:szCs w:val="20"/>
                <w:lang w:eastAsia="it-IT"/>
              </w:rPr>
            </w:pPr>
            <w:r w:rsidRPr="00B259B1">
              <w:rPr>
                <w:rFonts w:eastAsia="Times New Roman" w:cstheme="minorHAnsi"/>
                <w:color w:val="000000"/>
                <w:sz w:val="20"/>
                <w:szCs w:val="20"/>
                <w:lang w:eastAsia="it-IT"/>
              </w:rPr>
              <w:t>Malattie dell’apparato digerente</w:t>
            </w:r>
          </w:p>
        </w:tc>
        <w:tc>
          <w:tcPr>
            <w:tcW w:w="1009" w:type="dxa"/>
            <w:tcBorders>
              <w:top w:val="single" w:sz="8" w:space="0" w:color="auto"/>
              <w:left w:val="nil"/>
              <w:bottom w:val="single" w:sz="8" w:space="0" w:color="auto"/>
              <w:right w:val="nil"/>
            </w:tcBorders>
            <w:shd w:val="clear" w:color="auto" w:fill="auto"/>
            <w:vAlign w:val="center"/>
            <w:hideMark/>
          </w:tcPr>
          <w:p w14:paraId="15105FBF" w14:textId="77777777" w:rsidR="00B259B1" w:rsidRPr="00B259B1" w:rsidRDefault="00B259B1" w:rsidP="00B259B1">
            <w:pPr>
              <w:spacing w:after="0" w:line="360" w:lineRule="auto"/>
              <w:jc w:val="center"/>
              <w:rPr>
                <w:rFonts w:eastAsia="Times New Roman" w:cstheme="minorHAnsi"/>
                <w:b/>
                <w:color w:val="000000"/>
                <w:sz w:val="20"/>
                <w:szCs w:val="20"/>
                <w:lang w:eastAsia="it-IT"/>
              </w:rPr>
            </w:pPr>
            <w:r w:rsidRPr="00B259B1">
              <w:rPr>
                <w:rFonts w:eastAsia="Times New Roman" w:cstheme="minorHAnsi"/>
                <w:b/>
                <w:color w:val="000000"/>
                <w:sz w:val="20"/>
                <w:szCs w:val="20"/>
                <w:lang w:eastAsia="it-IT"/>
              </w:rPr>
              <w:t>Individui con almeno un contatto</w:t>
            </w:r>
          </w:p>
        </w:tc>
      </w:tr>
      <w:tr w:rsidR="00B259B1" w:rsidRPr="00B259B1" w14:paraId="1B5F7136" w14:textId="77777777" w:rsidTr="00420BCB">
        <w:trPr>
          <w:trHeight w:val="397"/>
          <w:jc w:val="center"/>
        </w:trPr>
        <w:tc>
          <w:tcPr>
            <w:tcW w:w="605" w:type="dxa"/>
            <w:tcBorders>
              <w:top w:val="nil"/>
              <w:left w:val="nil"/>
              <w:bottom w:val="nil"/>
              <w:right w:val="nil"/>
            </w:tcBorders>
            <w:shd w:val="clear" w:color="auto" w:fill="auto"/>
            <w:vAlign w:val="center"/>
            <w:hideMark/>
          </w:tcPr>
          <w:p w14:paraId="1F84EC7D" w14:textId="77777777" w:rsidR="00B259B1" w:rsidRPr="00B259B1" w:rsidRDefault="00B259B1" w:rsidP="00B259B1">
            <w:pPr>
              <w:spacing w:after="0" w:line="360" w:lineRule="auto"/>
              <w:jc w:val="center"/>
              <w:rPr>
                <w:rFonts w:eastAsia="Times New Roman" w:cstheme="minorHAnsi"/>
                <w:b/>
                <w:bCs/>
                <w:color w:val="000000"/>
                <w:sz w:val="20"/>
                <w:szCs w:val="20"/>
                <w:lang w:eastAsia="it-IT"/>
              </w:rPr>
            </w:pPr>
            <w:r w:rsidRPr="00B259B1">
              <w:rPr>
                <w:rFonts w:eastAsia="Times New Roman" w:cstheme="minorHAnsi"/>
                <w:b/>
                <w:bCs/>
                <w:color w:val="000000"/>
                <w:sz w:val="20"/>
                <w:szCs w:val="20"/>
                <w:lang w:eastAsia="it-IT"/>
              </w:rPr>
              <w:t>2011</w:t>
            </w:r>
          </w:p>
        </w:tc>
        <w:tc>
          <w:tcPr>
            <w:tcW w:w="898" w:type="dxa"/>
            <w:tcBorders>
              <w:top w:val="nil"/>
              <w:left w:val="nil"/>
              <w:bottom w:val="nil"/>
              <w:right w:val="nil"/>
            </w:tcBorders>
            <w:shd w:val="clear" w:color="auto" w:fill="auto"/>
            <w:vAlign w:val="center"/>
            <w:hideMark/>
          </w:tcPr>
          <w:p w14:paraId="4971458F"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0.1</w:t>
            </w:r>
          </w:p>
        </w:tc>
        <w:tc>
          <w:tcPr>
            <w:tcW w:w="1020" w:type="dxa"/>
            <w:tcBorders>
              <w:top w:val="nil"/>
              <w:left w:val="nil"/>
              <w:bottom w:val="nil"/>
              <w:right w:val="nil"/>
            </w:tcBorders>
            <w:shd w:val="clear" w:color="auto" w:fill="auto"/>
            <w:vAlign w:val="center"/>
            <w:hideMark/>
          </w:tcPr>
          <w:p w14:paraId="19866A19"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1.1</w:t>
            </w:r>
          </w:p>
        </w:tc>
        <w:tc>
          <w:tcPr>
            <w:tcW w:w="825" w:type="dxa"/>
            <w:tcBorders>
              <w:top w:val="nil"/>
              <w:left w:val="nil"/>
              <w:bottom w:val="nil"/>
              <w:right w:val="nil"/>
            </w:tcBorders>
            <w:shd w:val="clear" w:color="auto" w:fill="auto"/>
            <w:vAlign w:val="center"/>
            <w:hideMark/>
          </w:tcPr>
          <w:p w14:paraId="54A1112E"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2.5</w:t>
            </w:r>
          </w:p>
        </w:tc>
        <w:tc>
          <w:tcPr>
            <w:tcW w:w="862" w:type="dxa"/>
            <w:tcBorders>
              <w:top w:val="nil"/>
              <w:left w:val="nil"/>
              <w:bottom w:val="nil"/>
              <w:right w:val="nil"/>
            </w:tcBorders>
            <w:shd w:val="clear" w:color="auto" w:fill="auto"/>
            <w:vAlign w:val="center"/>
            <w:hideMark/>
          </w:tcPr>
          <w:p w14:paraId="421CF238"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7.3</w:t>
            </w:r>
          </w:p>
        </w:tc>
        <w:tc>
          <w:tcPr>
            <w:tcW w:w="874" w:type="dxa"/>
            <w:tcBorders>
              <w:top w:val="nil"/>
              <w:left w:val="nil"/>
              <w:bottom w:val="nil"/>
              <w:right w:val="nil"/>
            </w:tcBorders>
            <w:shd w:val="clear" w:color="auto" w:fill="auto"/>
            <w:vAlign w:val="center"/>
            <w:hideMark/>
          </w:tcPr>
          <w:p w14:paraId="6B852662"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7.1</w:t>
            </w:r>
          </w:p>
        </w:tc>
        <w:tc>
          <w:tcPr>
            <w:tcW w:w="874" w:type="dxa"/>
            <w:tcBorders>
              <w:top w:val="nil"/>
              <w:left w:val="nil"/>
              <w:bottom w:val="nil"/>
              <w:right w:val="nil"/>
            </w:tcBorders>
            <w:shd w:val="clear" w:color="auto" w:fill="auto"/>
            <w:vAlign w:val="center"/>
            <w:hideMark/>
          </w:tcPr>
          <w:p w14:paraId="6E1E67D9"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7.9</w:t>
            </w:r>
          </w:p>
        </w:tc>
        <w:tc>
          <w:tcPr>
            <w:tcW w:w="1301" w:type="dxa"/>
            <w:tcBorders>
              <w:top w:val="nil"/>
              <w:left w:val="nil"/>
              <w:bottom w:val="nil"/>
              <w:right w:val="nil"/>
            </w:tcBorders>
            <w:shd w:val="clear" w:color="auto" w:fill="auto"/>
            <w:vAlign w:val="center"/>
            <w:hideMark/>
          </w:tcPr>
          <w:p w14:paraId="1F82DF8D"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3.0</w:t>
            </w:r>
          </w:p>
        </w:tc>
        <w:tc>
          <w:tcPr>
            <w:tcW w:w="1301" w:type="dxa"/>
            <w:tcBorders>
              <w:top w:val="nil"/>
              <w:left w:val="nil"/>
              <w:bottom w:val="nil"/>
              <w:right w:val="nil"/>
            </w:tcBorders>
            <w:shd w:val="clear" w:color="auto" w:fill="auto"/>
            <w:vAlign w:val="center"/>
            <w:hideMark/>
          </w:tcPr>
          <w:p w14:paraId="7AC6F777"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8.0</w:t>
            </w:r>
          </w:p>
        </w:tc>
        <w:tc>
          <w:tcPr>
            <w:tcW w:w="1009" w:type="dxa"/>
            <w:tcBorders>
              <w:top w:val="nil"/>
              <w:left w:val="nil"/>
              <w:bottom w:val="nil"/>
              <w:right w:val="nil"/>
            </w:tcBorders>
            <w:shd w:val="clear" w:color="auto" w:fill="auto"/>
            <w:vAlign w:val="center"/>
            <w:hideMark/>
          </w:tcPr>
          <w:p w14:paraId="3E1088DE" w14:textId="77777777" w:rsidR="00B259B1" w:rsidRPr="00B259B1" w:rsidRDefault="00B259B1" w:rsidP="00B259B1">
            <w:pPr>
              <w:spacing w:after="0" w:line="360" w:lineRule="auto"/>
              <w:jc w:val="center"/>
              <w:rPr>
                <w:rFonts w:cstheme="minorHAnsi"/>
                <w:b/>
                <w:sz w:val="20"/>
                <w:szCs w:val="20"/>
              </w:rPr>
            </w:pPr>
            <w:r w:rsidRPr="00B259B1">
              <w:rPr>
                <w:rFonts w:cstheme="minorHAnsi"/>
                <w:b/>
                <w:sz w:val="20"/>
                <w:szCs w:val="20"/>
              </w:rPr>
              <w:t>8.611</w:t>
            </w:r>
          </w:p>
        </w:tc>
      </w:tr>
      <w:tr w:rsidR="00B259B1" w:rsidRPr="00B259B1" w14:paraId="5DF98463" w14:textId="77777777" w:rsidTr="00420BCB">
        <w:trPr>
          <w:trHeight w:val="397"/>
          <w:jc w:val="center"/>
        </w:trPr>
        <w:tc>
          <w:tcPr>
            <w:tcW w:w="605" w:type="dxa"/>
            <w:tcBorders>
              <w:top w:val="nil"/>
              <w:left w:val="nil"/>
              <w:bottom w:val="nil"/>
              <w:right w:val="nil"/>
            </w:tcBorders>
            <w:shd w:val="clear" w:color="auto" w:fill="auto"/>
            <w:vAlign w:val="center"/>
            <w:hideMark/>
          </w:tcPr>
          <w:p w14:paraId="3786DFD0" w14:textId="77777777" w:rsidR="00B259B1" w:rsidRPr="00B259B1" w:rsidRDefault="00B259B1" w:rsidP="00B259B1">
            <w:pPr>
              <w:spacing w:after="0" w:line="360" w:lineRule="auto"/>
              <w:jc w:val="center"/>
              <w:rPr>
                <w:rFonts w:eastAsia="Times New Roman" w:cstheme="minorHAnsi"/>
                <w:b/>
                <w:bCs/>
                <w:color w:val="000000"/>
                <w:sz w:val="20"/>
                <w:szCs w:val="20"/>
                <w:lang w:eastAsia="it-IT"/>
              </w:rPr>
            </w:pPr>
            <w:r w:rsidRPr="00B259B1">
              <w:rPr>
                <w:rFonts w:eastAsia="Times New Roman" w:cstheme="minorHAnsi"/>
                <w:b/>
                <w:bCs/>
                <w:color w:val="000000"/>
                <w:sz w:val="20"/>
                <w:szCs w:val="20"/>
                <w:lang w:eastAsia="it-IT"/>
              </w:rPr>
              <w:t>2012</w:t>
            </w:r>
          </w:p>
        </w:tc>
        <w:tc>
          <w:tcPr>
            <w:tcW w:w="898" w:type="dxa"/>
            <w:tcBorders>
              <w:top w:val="nil"/>
              <w:left w:val="nil"/>
              <w:bottom w:val="nil"/>
              <w:right w:val="nil"/>
            </w:tcBorders>
            <w:shd w:val="clear" w:color="auto" w:fill="auto"/>
            <w:vAlign w:val="center"/>
            <w:hideMark/>
          </w:tcPr>
          <w:p w14:paraId="4C44F512"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0.1</w:t>
            </w:r>
          </w:p>
        </w:tc>
        <w:tc>
          <w:tcPr>
            <w:tcW w:w="1020" w:type="dxa"/>
            <w:tcBorders>
              <w:top w:val="nil"/>
              <w:left w:val="nil"/>
              <w:bottom w:val="nil"/>
              <w:right w:val="nil"/>
            </w:tcBorders>
            <w:shd w:val="clear" w:color="auto" w:fill="auto"/>
            <w:vAlign w:val="center"/>
            <w:hideMark/>
          </w:tcPr>
          <w:p w14:paraId="0C7A8A76"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1.1</w:t>
            </w:r>
          </w:p>
        </w:tc>
        <w:tc>
          <w:tcPr>
            <w:tcW w:w="825" w:type="dxa"/>
            <w:tcBorders>
              <w:top w:val="nil"/>
              <w:left w:val="nil"/>
              <w:bottom w:val="nil"/>
              <w:right w:val="nil"/>
            </w:tcBorders>
            <w:shd w:val="clear" w:color="auto" w:fill="auto"/>
            <w:vAlign w:val="center"/>
            <w:hideMark/>
          </w:tcPr>
          <w:p w14:paraId="541E78F4"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2.7</w:t>
            </w:r>
          </w:p>
        </w:tc>
        <w:tc>
          <w:tcPr>
            <w:tcW w:w="862" w:type="dxa"/>
            <w:tcBorders>
              <w:top w:val="nil"/>
              <w:left w:val="nil"/>
              <w:bottom w:val="nil"/>
              <w:right w:val="nil"/>
            </w:tcBorders>
            <w:shd w:val="clear" w:color="auto" w:fill="auto"/>
            <w:vAlign w:val="center"/>
            <w:hideMark/>
          </w:tcPr>
          <w:p w14:paraId="3013094D"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8.5</w:t>
            </w:r>
          </w:p>
        </w:tc>
        <w:tc>
          <w:tcPr>
            <w:tcW w:w="874" w:type="dxa"/>
            <w:tcBorders>
              <w:top w:val="nil"/>
              <w:left w:val="nil"/>
              <w:bottom w:val="nil"/>
              <w:right w:val="nil"/>
            </w:tcBorders>
            <w:shd w:val="clear" w:color="auto" w:fill="auto"/>
            <w:vAlign w:val="center"/>
            <w:hideMark/>
          </w:tcPr>
          <w:p w14:paraId="65588E96"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11.7</w:t>
            </w:r>
          </w:p>
        </w:tc>
        <w:tc>
          <w:tcPr>
            <w:tcW w:w="874" w:type="dxa"/>
            <w:tcBorders>
              <w:top w:val="nil"/>
              <w:left w:val="nil"/>
              <w:bottom w:val="nil"/>
              <w:right w:val="nil"/>
            </w:tcBorders>
            <w:shd w:val="clear" w:color="auto" w:fill="auto"/>
            <w:vAlign w:val="center"/>
            <w:hideMark/>
          </w:tcPr>
          <w:p w14:paraId="1162F280"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8.5</w:t>
            </w:r>
          </w:p>
        </w:tc>
        <w:tc>
          <w:tcPr>
            <w:tcW w:w="1301" w:type="dxa"/>
            <w:tcBorders>
              <w:top w:val="nil"/>
              <w:left w:val="nil"/>
              <w:bottom w:val="nil"/>
              <w:right w:val="nil"/>
            </w:tcBorders>
            <w:shd w:val="clear" w:color="auto" w:fill="auto"/>
            <w:vAlign w:val="center"/>
            <w:hideMark/>
          </w:tcPr>
          <w:p w14:paraId="1BFDE275"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2.8</w:t>
            </w:r>
          </w:p>
        </w:tc>
        <w:tc>
          <w:tcPr>
            <w:tcW w:w="1301" w:type="dxa"/>
            <w:tcBorders>
              <w:top w:val="nil"/>
              <w:left w:val="nil"/>
              <w:bottom w:val="nil"/>
              <w:right w:val="nil"/>
            </w:tcBorders>
            <w:shd w:val="clear" w:color="auto" w:fill="auto"/>
            <w:vAlign w:val="center"/>
            <w:hideMark/>
          </w:tcPr>
          <w:p w14:paraId="75E560B1"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11.1</w:t>
            </w:r>
          </w:p>
        </w:tc>
        <w:tc>
          <w:tcPr>
            <w:tcW w:w="1009" w:type="dxa"/>
            <w:tcBorders>
              <w:top w:val="nil"/>
              <w:left w:val="nil"/>
              <w:bottom w:val="nil"/>
              <w:right w:val="nil"/>
            </w:tcBorders>
            <w:shd w:val="clear" w:color="auto" w:fill="auto"/>
            <w:vAlign w:val="center"/>
            <w:hideMark/>
          </w:tcPr>
          <w:p w14:paraId="7BBB5D5C" w14:textId="77777777" w:rsidR="00B259B1" w:rsidRPr="00B259B1" w:rsidRDefault="00B259B1" w:rsidP="00B259B1">
            <w:pPr>
              <w:spacing w:after="0" w:line="360" w:lineRule="auto"/>
              <w:jc w:val="center"/>
              <w:rPr>
                <w:rFonts w:cstheme="minorHAnsi"/>
                <w:b/>
                <w:sz w:val="20"/>
                <w:szCs w:val="20"/>
              </w:rPr>
            </w:pPr>
            <w:r w:rsidRPr="00B259B1">
              <w:rPr>
                <w:rFonts w:cstheme="minorHAnsi"/>
                <w:b/>
                <w:sz w:val="20"/>
                <w:szCs w:val="20"/>
              </w:rPr>
              <w:t>9.938</w:t>
            </w:r>
          </w:p>
        </w:tc>
      </w:tr>
      <w:tr w:rsidR="00B259B1" w:rsidRPr="00B259B1" w14:paraId="2DD6266B" w14:textId="77777777" w:rsidTr="00420BCB">
        <w:trPr>
          <w:trHeight w:val="397"/>
          <w:jc w:val="center"/>
        </w:trPr>
        <w:tc>
          <w:tcPr>
            <w:tcW w:w="605" w:type="dxa"/>
            <w:tcBorders>
              <w:top w:val="nil"/>
              <w:left w:val="nil"/>
              <w:bottom w:val="nil"/>
              <w:right w:val="nil"/>
            </w:tcBorders>
            <w:shd w:val="clear" w:color="auto" w:fill="auto"/>
            <w:vAlign w:val="center"/>
            <w:hideMark/>
          </w:tcPr>
          <w:p w14:paraId="4858AE72" w14:textId="77777777" w:rsidR="00B259B1" w:rsidRPr="00B259B1" w:rsidRDefault="00B259B1" w:rsidP="00B259B1">
            <w:pPr>
              <w:spacing w:after="0" w:line="360" w:lineRule="auto"/>
              <w:jc w:val="center"/>
              <w:rPr>
                <w:rFonts w:eastAsia="Times New Roman" w:cstheme="minorHAnsi"/>
                <w:b/>
                <w:bCs/>
                <w:color w:val="000000"/>
                <w:sz w:val="20"/>
                <w:szCs w:val="20"/>
                <w:lang w:eastAsia="it-IT"/>
              </w:rPr>
            </w:pPr>
            <w:r w:rsidRPr="00B259B1">
              <w:rPr>
                <w:rFonts w:eastAsia="Times New Roman" w:cstheme="minorHAnsi"/>
                <w:b/>
                <w:bCs/>
                <w:color w:val="000000"/>
                <w:sz w:val="20"/>
                <w:szCs w:val="20"/>
                <w:lang w:eastAsia="it-IT"/>
              </w:rPr>
              <w:t>2013</w:t>
            </w:r>
          </w:p>
        </w:tc>
        <w:tc>
          <w:tcPr>
            <w:tcW w:w="898" w:type="dxa"/>
            <w:tcBorders>
              <w:top w:val="nil"/>
              <w:left w:val="nil"/>
              <w:bottom w:val="nil"/>
              <w:right w:val="nil"/>
            </w:tcBorders>
            <w:shd w:val="clear" w:color="auto" w:fill="auto"/>
            <w:vAlign w:val="center"/>
            <w:hideMark/>
          </w:tcPr>
          <w:p w14:paraId="0D291526"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0.1</w:t>
            </w:r>
          </w:p>
        </w:tc>
        <w:tc>
          <w:tcPr>
            <w:tcW w:w="1020" w:type="dxa"/>
            <w:tcBorders>
              <w:top w:val="nil"/>
              <w:left w:val="nil"/>
              <w:bottom w:val="nil"/>
              <w:right w:val="nil"/>
            </w:tcBorders>
            <w:shd w:val="clear" w:color="auto" w:fill="auto"/>
            <w:vAlign w:val="center"/>
            <w:hideMark/>
          </w:tcPr>
          <w:p w14:paraId="7C1CFC16"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1.2</w:t>
            </w:r>
          </w:p>
        </w:tc>
        <w:tc>
          <w:tcPr>
            <w:tcW w:w="825" w:type="dxa"/>
            <w:tcBorders>
              <w:top w:val="nil"/>
              <w:left w:val="nil"/>
              <w:bottom w:val="nil"/>
              <w:right w:val="nil"/>
            </w:tcBorders>
            <w:shd w:val="clear" w:color="auto" w:fill="auto"/>
            <w:vAlign w:val="center"/>
            <w:hideMark/>
          </w:tcPr>
          <w:p w14:paraId="7EFFDB6A"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2.9</w:t>
            </w:r>
          </w:p>
        </w:tc>
        <w:tc>
          <w:tcPr>
            <w:tcW w:w="862" w:type="dxa"/>
            <w:tcBorders>
              <w:top w:val="nil"/>
              <w:left w:val="nil"/>
              <w:bottom w:val="nil"/>
              <w:right w:val="nil"/>
            </w:tcBorders>
            <w:shd w:val="clear" w:color="auto" w:fill="auto"/>
            <w:vAlign w:val="center"/>
            <w:hideMark/>
          </w:tcPr>
          <w:p w14:paraId="3891626D"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7.6</w:t>
            </w:r>
          </w:p>
        </w:tc>
        <w:tc>
          <w:tcPr>
            <w:tcW w:w="874" w:type="dxa"/>
            <w:tcBorders>
              <w:top w:val="nil"/>
              <w:left w:val="nil"/>
              <w:bottom w:val="nil"/>
              <w:right w:val="nil"/>
            </w:tcBorders>
            <w:shd w:val="clear" w:color="auto" w:fill="auto"/>
            <w:vAlign w:val="center"/>
            <w:hideMark/>
          </w:tcPr>
          <w:p w14:paraId="3C79BF3F"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11.8</w:t>
            </w:r>
          </w:p>
        </w:tc>
        <w:tc>
          <w:tcPr>
            <w:tcW w:w="874" w:type="dxa"/>
            <w:tcBorders>
              <w:top w:val="nil"/>
              <w:left w:val="nil"/>
              <w:bottom w:val="nil"/>
              <w:right w:val="nil"/>
            </w:tcBorders>
            <w:shd w:val="clear" w:color="auto" w:fill="auto"/>
            <w:vAlign w:val="center"/>
            <w:hideMark/>
          </w:tcPr>
          <w:p w14:paraId="25AAB0F3"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8.4</w:t>
            </w:r>
          </w:p>
        </w:tc>
        <w:tc>
          <w:tcPr>
            <w:tcW w:w="1301" w:type="dxa"/>
            <w:tcBorders>
              <w:top w:val="nil"/>
              <w:left w:val="nil"/>
              <w:bottom w:val="nil"/>
              <w:right w:val="nil"/>
            </w:tcBorders>
            <w:shd w:val="clear" w:color="auto" w:fill="auto"/>
            <w:vAlign w:val="center"/>
            <w:hideMark/>
          </w:tcPr>
          <w:p w14:paraId="205324AF"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3.1</w:t>
            </w:r>
          </w:p>
        </w:tc>
        <w:tc>
          <w:tcPr>
            <w:tcW w:w="1301" w:type="dxa"/>
            <w:tcBorders>
              <w:top w:val="nil"/>
              <w:left w:val="nil"/>
              <w:bottom w:val="nil"/>
              <w:right w:val="nil"/>
            </w:tcBorders>
            <w:shd w:val="clear" w:color="auto" w:fill="auto"/>
            <w:vAlign w:val="center"/>
            <w:hideMark/>
          </w:tcPr>
          <w:p w14:paraId="30B30F36"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11.5</w:t>
            </w:r>
          </w:p>
        </w:tc>
        <w:tc>
          <w:tcPr>
            <w:tcW w:w="1009" w:type="dxa"/>
            <w:tcBorders>
              <w:top w:val="nil"/>
              <w:left w:val="nil"/>
              <w:bottom w:val="nil"/>
              <w:right w:val="nil"/>
            </w:tcBorders>
            <w:shd w:val="clear" w:color="auto" w:fill="auto"/>
            <w:vAlign w:val="center"/>
            <w:hideMark/>
          </w:tcPr>
          <w:p w14:paraId="605B68F3" w14:textId="77777777" w:rsidR="00B259B1" w:rsidRPr="00B259B1" w:rsidRDefault="00B259B1" w:rsidP="00B259B1">
            <w:pPr>
              <w:spacing w:after="0" w:line="360" w:lineRule="auto"/>
              <w:jc w:val="center"/>
              <w:rPr>
                <w:rFonts w:cstheme="minorHAnsi"/>
                <w:b/>
                <w:sz w:val="20"/>
                <w:szCs w:val="20"/>
              </w:rPr>
            </w:pPr>
            <w:r w:rsidRPr="00B259B1">
              <w:rPr>
                <w:rFonts w:cstheme="minorHAnsi"/>
                <w:b/>
                <w:sz w:val="20"/>
                <w:szCs w:val="20"/>
              </w:rPr>
              <w:t>10.681</w:t>
            </w:r>
          </w:p>
        </w:tc>
      </w:tr>
      <w:tr w:rsidR="00B259B1" w:rsidRPr="00B259B1" w14:paraId="32C1FFD5" w14:textId="77777777" w:rsidTr="00420BCB">
        <w:trPr>
          <w:trHeight w:val="397"/>
          <w:jc w:val="center"/>
        </w:trPr>
        <w:tc>
          <w:tcPr>
            <w:tcW w:w="605" w:type="dxa"/>
            <w:tcBorders>
              <w:top w:val="nil"/>
              <w:left w:val="nil"/>
              <w:bottom w:val="nil"/>
              <w:right w:val="nil"/>
            </w:tcBorders>
            <w:shd w:val="clear" w:color="auto" w:fill="auto"/>
            <w:vAlign w:val="center"/>
            <w:hideMark/>
          </w:tcPr>
          <w:p w14:paraId="0B8C9F2E" w14:textId="77777777" w:rsidR="00B259B1" w:rsidRPr="00B259B1" w:rsidRDefault="00B259B1" w:rsidP="00B259B1">
            <w:pPr>
              <w:spacing w:after="0" w:line="360" w:lineRule="auto"/>
              <w:jc w:val="center"/>
              <w:rPr>
                <w:rFonts w:eastAsia="Times New Roman" w:cstheme="minorHAnsi"/>
                <w:b/>
                <w:bCs/>
                <w:color w:val="000000"/>
                <w:sz w:val="20"/>
                <w:szCs w:val="20"/>
                <w:lang w:eastAsia="it-IT"/>
              </w:rPr>
            </w:pPr>
            <w:r w:rsidRPr="00B259B1">
              <w:rPr>
                <w:rFonts w:eastAsia="Times New Roman" w:cstheme="minorHAnsi"/>
                <w:b/>
                <w:bCs/>
                <w:color w:val="000000"/>
                <w:sz w:val="20"/>
                <w:szCs w:val="20"/>
                <w:lang w:eastAsia="it-IT"/>
              </w:rPr>
              <w:t>2014</w:t>
            </w:r>
          </w:p>
        </w:tc>
        <w:tc>
          <w:tcPr>
            <w:tcW w:w="898" w:type="dxa"/>
            <w:tcBorders>
              <w:top w:val="nil"/>
              <w:left w:val="nil"/>
              <w:bottom w:val="nil"/>
              <w:right w:val="nil"/>
            </w:tcBorders>
            <w:shd w:val="clear" w:color="auto" w:fill="auto"/>
            <w:vAlign w:val="center"/>
            <w:hideMark/>
          </w:tcPr>
          <w:p w14:paraId="2CC3660E"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0.2</w:t>
            </w:r>
          </w:p>
        </w:tc>
        <w:tc>
          <w:tcPr>
            <w:tcW w:w="1020" w:type="dxa"/>
            <w:tcBorders>
              <w:top w:val="nil"/>
              <w:left w:val="nil"/>
              <w:bottom w:val="nil"/>
              <w:right w:val="nil"/>
            </w:tcBorders>
            <w:shd w:val="clear" w:color="auto" w:fill="auto"/>
            <w:vAlign w:val="center"/>
            <w:hideMark/>
          </w:tcPr>
          <w:p w14:paraId="5F2EDF5B"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0.9</w:t>
            </w:r>
          </w:p>
        </w:tc>
        <w:tc>
          <w:tcPr>
            <w:tcW w:w="825" w:type="dxa"/>
            <w:tcBorders>
              <w:top w:val="nil"/>
              <w:left w:val="nil"/>
              <w:bottom w:val="nil"/>
              <w:right w:val="nil"/>
            </w:tcBorders>
            <w:shd w:val="clear" w:color="auto" w:fill="auto"/>
            <w:vAlign w:val="center"/>
            <w:hideMark/>
          </w:tcPr>
          <w:p w14:paraId="243B8FB6"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3.1</w:t>
            </w:r>
          </w:p>
        </w:tc>
        <w:tc>
          <w:tcPr>
            <w:tcW w:w="862" w:type="dxa"/>
            <w:tcBorders>
              <w:top w:val="nil"/>
              <w:left w:val="nil"/>
              <w:bottom w:val="nil"/>
              <w:right w:val="nil"/>
            </w:tcBorders>
            <w:shd w:val="clear" w:color="auto" w:fill="auto"/>
            <w:vAlign w:val="center"/>
            <w:hideMark/>
          </w:tcPr>
          <w:p w14:paraId="1C04F0F1"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7.4</w:t>
            </w:r>
          </w:p>
        </w:tc>
        <w:tc>
          <w:tcPr>
            <w:tcW w:w="874" w:type="dxa"/>
            <w:tcBorders>
              <w:top w:val="nil"/>
              <w:left w:val="nil"/>
              <w:bottom w:val="nil"/>
              <w:right w:val="nil"/>
            </w:tcBorders>
            <w:shd w:val="clear" w:color="auto" w:fill="auto"/>
            <w:vAlign w:val="center"/>
            <w:hideMark/>
          </w:tcPr>
          <w:p w14:paraId="049C0D65"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12.6</w:t>
            </w:r>
          </w:p>
        </w:tc>
        <w:tc>
          <w:tcPr>
            <w:tcW w:w="874" w:type="dxa"/>
            <w:tcBorders>
              <w:top w:val="nil"/>
              <w:left w:val="nil"/>
              <w:bottom w:val="nil"/>
              <w:right w:val="nil"/>
            </w:tcBorders>
            <w:shd w:val="clear" w:color="auto" w:fill="auto"/>
            <w:vAlign w:val="center"/>
            <w:hideMark/>
          </w:tcPr>
          <w:p w14:paraId="71BA85E0"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9.1</w:t>
            </w:r>
          </w:p>
        </w:tc>
        <w:tc>
          <w:tcPr>
            <w:tcW w:w="1301" w:type="dxa"/>
            <w:tcBorders>
              <w:top w:val="nil"/>
              <w:left w:val="nil"/>
              <w:bottom w:val="nil"/>
              <w:right w:val="nil"/>
            </w:tcBorders>
            <w:shd w:val="clear" w:color="auto" w:fill="auto"/>
            <w:vAlign w:val="center"/>
            <w:hideMark/>
          </w:tcPr>
          <w:p w14:paraId="1BAEC655"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3.2</w:t>
            </w:r>
          </w:p>
        </w:tc>
        <w:tc>
          <w:tcPr>
            <w:tcW w:w="1301" w:type="dxa"/>
            <w:tcBorders>
              <w:top w:val="nil"/>
              <w:left w:val="nil"/>
              <w:bottom w:val="nil"/>
              <w:right w:val="nil"/>
            </w:tcBorders>
            <w:shd w:val="clear" w:color="auto" w:fill="auto"/>
            <w:vAlign w:val="center"/>
            <w:hideMark/>
          </w:tcPr>
          <w:p w14:paraId="1AFB6A59"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10.9</w:t>
            </w:r>
          </w:p>
        </w:tc>
        <w:tc>
          <w:tcPr>
            <w:tcW w:w="1009" w:type="dxa"/>
            <w:tcBorders>
              <w:top w:val="nil"/>
              <w:left w:val="nil"/>
              <w:bottom w:val="nil"/>
              <w:right w:val="nil"/>
            </w:tcBorders>
            <w:shd w:val="clear" w:color="auto" w:fill="auto"/>
            <w:vAlign w:val="center"/>
            <w:hideMark/>
          </w:tcPr>
          <w:p w14:paraId="3A2B860A" w14:textId="77777777" w:rsidR="00B259B1" w:rsidRPr="00B259B1" w:rsidRDefault="00B259B1" w:rsidP="00B259B1">
            <w:pPr>
              <w:spacing w:after="0" w:line="360" w:lineRule="auto"/>
              <w:jc w:val="center"/>
              <w:rPr>
                <w:rFonts w:cstheme="minorHAnsi"/>
                <w:b/>
                <w:sz w:val="20"/>
                <w:szCs w:val="20"/>
              </w:rPr>
            </w:pPr>
            <w:r w:rsidRPr="00B259B1">
              <w:rPr>
                <w:rFonts w:cstheme="minorHAnsi"/>
                <w:b/>
                <w:sz w:val="20"/>
                <w:szCs w:val="20"/>
              </w:rPr>
              <w:t>10.737</w:t>
            </w:r>
          </w:p>
        </w:tc>
      </w:tr>
      <w:tr w:rsidR="00B259B1" w:rsidRPr="00B259B1" w14:paraId="0ACB3DF0" w14:textId="77777777" w:rsidTr="00420BCB">
        <w:trPr>
          <w:trHeight w:val="397"/>
          <w:jc w:val="center"/>
        </w:trPr>
        <w:tc>
          <w:tcPr>
            <w:tcW w:w="605" w:type="dxa"/>
            <w:tcBorders>
              <w:top w:val="nil"/>
              <w:left w:val="nil"/>
              <w:bottom w:val="nil"/>
              <w:right w:val="nil"/>
            </w:tcBorders>
            <w:shd w:val="clear" w:color="auto" w:fill="auto"/>
            <w:vAlign w:val="center"/>
            <w:hideMark/>
          </w:tcPr>
          <w:p w14:paraId="57804BD2" w14:textId="77777777" w:rsidR="00B259B1" w:rsidRPr="00B259B1" w:rsidRDefault="00B259B1" w:rsidP="00B259B1">
            <w:pPr>
              <w:spacing w:after="0" w:line="360" w:lineRule="auto"/>
              <w:jc w:val="center"/>
              <w:rPr>
                <w:rFonts w:eastAsia="Times New Roman" w:cstheme="minorHAnsi"/>
                <w:b/>
                <w:bCs/>
                <w:color w:val="000000"/>
                <w:sz w:val="20"/>
                <w:szCs w:val="20"/>
                <w:lang w:eastAsia="it-IT"/>
              </w:rPr>
            </w:pPr>
            <w:r w:rsidRPr="00B259B1">
              <w:rPr>
                <w:rFonts w:eastAsia="Times New Roman" w:cstheme="minorHAnsi"/>
                <w:b/>
                <w:bCs/>
                <w:color w:val="000000"/>
                <w:sz w:val="20"/>
                <w:szCs w:val="20"/>
                <w:lang w:eastAsia="it-IT"/>
              </w:rPr>
              <w:t>2015</w:t>
            </w:r>
          </w:p>
        </w:tc>
        <w:tc>
          <w:tcPr>
            <w:tcW w:w="898" w:type="dxa"/>
            <w:tcBorders>
              <w:top w:val="nil"/>
              <w:left w:val="nil"/>
              <w:bottom w:val="nil"/>
              <w:right w:val="nil"/>
            </w:tcBorders>
            <w:shd w:val="clear" w:color="auto" w:fill="auto"/>
            <w:vAlign w:val="center"/>
            <w:hideMark/>
          </w:tcPr>
          <w:p w14:paraId="6FE98F07"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0.2</w:t>
            </w:r>
          </w:p>
        </w:tc>
        <w:tc>
          <w:tcPr>
            <w:tcW w:w="1020" w:type="dxa"/>
            <w:tcBorders>
              <w:top w:val="nil"/>
              <w:left w:val="nil"/>
              <w:bottom w:val="nil"/>
              <w:right w:val="nil"/>
            </w:tcBorders>
            <w:shd w:val="clear" w:color="auto" w:fill="auto"/>
            <w:vAlign w:val="center"/>
            <w:hideMark/>
          </w:tcPr>
          <w:p w14:paraId="6E20F447"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1.1</w:t>
            </w:r>
          </w:p>
        </w:tc>
        <w:tc>
          <w:tcPr>
            <w:tcW w:w="825" w:type="dxa"/>
            <w:tcBorders>
              <w:top w:val="nil"/>
              <w:left w:val="nil"/>
              <w:bottom w:val="nil"/>
              <w:right w:val="nil"/>
            </w:tcBorders>
            <w:shd w:val="clear" w:color="auto" w:fill="auto"/>
            <w:vAlign w:val="center"/>
            <w:hideMark/>
          </w:tcPr>
          <w:p w14:paraId="01484800"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3.2</w:t>
            </w:r>
          </w:p>
        </w:tc>
        <w:tc>
          <w:tcPr>
            <w:tcW w:w="862" w:type="dxa"/>
            <w:tcBorders>
              <w:top w:val="nil"/>
              <w:left w:val="nil"/>
              <w:bottom w:val="nil"/>
              <w:right w:val="nil"/>
            </w:tcBorders>
            <w:shd w:val="clear" w:color="auto" w:fill="auto"/>
            <w:vAlign w:val="center"/>
            <w:hideMark/>
          </w:tcPr>
          <w:p w14:paraId="4CFED362"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8.1</w:t>
            </w:r>
          </w:p>
        </w:tc>
        <w:tc>
          <w:tcPr>
            <w:tcW w:w="874" w:type="dxa"/>
            <w:tcBorders>
              <w:top w:val="nil"/>
              <w:left w:val="nil"/>
              <w:bottom w:val="nil"/>
              <w:right w:val="nil"/>
            </w:tcBorders>
            <w:shd w:val="clear" w:color="auto" w:fill="auto"/>
            <w:vAlign w:val="center"/>
            <w:hideMark/>
          </w:tcPr>
          <w:p w14:paraId="670036F5"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11.7</w:t>
            </w:r>
          </w:p>
        </w:tc>
        <w:tc>
          <w:tcPr>
            <w:tcW w:w="874" w:type="dxa"/>
            <w:tcBorders>
              <w:top w:val="nil"/>
              <w:left w:val="nil"/>
              <w:bottom w:val="nil"/>
              <w:right w:val="nil"/>
            </w:tcBorders>
            <w:shd w:val="clear" w:color="auto" w:fill="auto"/>
            <w:vAlign w:val="center"/>
            <w:hideMark/>
          </w:tcPr>
          <w:p w14:paraId="0E4950F0"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10.2</w:t>
            </w:r>
          </w:p>
        </w:tc>
        <w:tc>
          <w:tcPr>
            <w:tcW w:w="1301" w:type="dxa"/>
            <w:tcBorders>
              <w:top w:val="nil"/>
              <w:left w:val="nil"/>
              <w:bottom w:val="nil"/>
              <w:right w:val="nil"/>
            </w:tcBorders>
            <w:shd w:val="clear" w:color="auto" w:fill="auto"/>
            <w:vAlign w:val="center"/>
            <w:hideMark/>
          </w:tcPr>
          <w:p w14:paraId="2DB2CB4C"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3.3</w:t>
            </w:r>
          </w:p>
        </w:tc>
        <w:tc>
          <w:tcPr>
            <w:tcW w:w="1301" w:type="dxa"/>
            <w:tcBorders>
              <w:top w:val="nil"/>
              <w:left w:val="nil"/>
              <w:bottom w:val="nil"/>
              <w:right w:val="nil"/>
            </w:tcBorders>
            <w:shd w:val="clear" w:color="auto" w:fill="auto"/>
            <w:vAlign w:val="center"/>
            <w:hideMark/>
          </w:tcPr>
          <w:p w14:paraId="3F2E00B8"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11.1</w:t>
            </w:r>
          </w:p>
        </w:tc>
        <w:tc>
          <w:tcPr>
            <w:tcW w:w="1009" w:type="dxa"/>
            <w:tcBorders>
              <w:top w:val="nil"/>
              <w:left w:val="nil"/>
              <w:bottom w:val="nil"/>
              <w:right w:val="nil"/>
            </w:tcBorders>
            <w:shd w:val="clear" w:color="auto" w:fill="auto"/>
            <w:vAlign w:val="center"/>
            <w:hideMark/>
          </w:tcPr>
          <w:p w14:paraId="62DE7213" w14:textId="77777777" w:rsidR="00B259B1" w:rsidRPr="00B259B1" w:rsidRDefault="00B259B1" w:rsidP="00B259B1">
            <w:pPr>
              <w:spacing w:after="0" w:line="360" w:lineRule="auto"/>
              <w:jc w:val="center"/>
              <w:rPr>
                <w:rFonts w:cstheme="minorHAnsi"/>
                <w:b/>
                <w:sz w:val="20"/>
                <w:szCs w:val="20"/>
              </w:rPr>
            </w:pPr>
            <w:r w:rsidRPr="00B259B1">
              <w:rPr>
                <w:rFonts w:cstheme="minorHAnsi"/>
                <w:b/>
                <w:sz w:val="20"/>
                <w:szCs w:val="20"/>
              </w:rPr>
              <w:t>10.255</w:t>
            </w:r>
          </w:p>
        </w:tc>
      </w:tr>
      <w:tr w:rsidR="00B259B1" w:rsidRPr="00B259B1" w14:paraId="53B2AC5C" w14:textId="77777777" w:rsidTr="00420BCB">
        <w:trPr>
          <w:trHeight w:val="397"/>
          <w:jc w:val="center"/>
        </w:trPr>
        <w:tc>
          <w:tcPr>
            <w:tcW w:w="605" w:type="dxa"/>
            <w:tcBorders>
              <w:top w:val="nil"/>
              <w:left w:val="nil"/>
              <w:bottom w:val="nil"/>
              <w:right w:val="nil"/>
            </w:tcBorders>
            <w:shd w:val="clear" w:color="auto" w:fill="auto"/>
            <w:vAlign w:val="center"/>
            <w:hideMark/>
          </w:tcPr>
          <w:p w14:paraId="3213DD68" w14:textId="77777777" w:rsidR="00B259B1" w:rsidRPr="00B259B1" w:rsidRDefault="00B259B1" w:rsidP="00B259B1">
            <w:pPr>
              <w:spacing w:after="0" w:line="360" w:lineRule="auto"/>
              <w:jc w:val="center"/>
              <w:rPr>
                <w:rFonts w:eastAsia="Times New Roman" w:cstheme="minorHAnsi"/>
                <w:b/>
                <w:bCs/>
                <w:color w:val="000000"/>
                <w:sz w:val="20"/>
                <w:szCs w:val="20"/>
                <w:lang w:eastAsia="it-IT"/>
              </w:rPr>
            </w:pPr>
            <w:r w:rsidRPr="00B259B1">
              <w:rPr>
                <w:rFonts w:eastAsia="Times New Roman" w:cstheme="minorHAnsi"/>
                <w:b/>
                <w:bCs/>
                <w:color w:val="000000"/>
                <w:sz w:val="20"/>
                <w:szCs w:val="20"/>
                <w:lang w:eastAsia="it-IT"/>
              </w:rPr>
              <w:t>2016</w:t>
            </w:r>
          </w:p>
        </w:tc>
        <w:tc>
          <w:tcPr>
            <w:tcW w:w="898" w:type="dxa"/>
            <w:tcBorders>
              <w:top w:val="nil"/>
              <w:left w:val="nil"/>
              <w:bottom w:val="nil"/>
              <w:right w:val="nil"/>
            </w:tcBorders>
            <w:shd w:val="clear" w:color="auto" w:fill="auto"/>
            <w:vAlign w:val="center"/>
            <w:hideMark/>
          </w:tcPr>
          <w:p w14:paraId="3F21A19E"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0.2</w:t>
            </w:r>
          </w:p>
        </w:tc>
        <w:tc>
          <w:tcPr>
            <w:tcW w:w="1020" w:type="dxa"/>
            <w:tcBorders>
              <w:top w:val="nil"/>
              <w:left w:val="nil"/>
              <w:bottom w:val="nil"/>
              <w:right w:val="nil"/>
            </w:tcBorders>
            <w:shd w:val="clear" w:color="auto" w:fill="auto"/>
            <w:vAlign w:val="center"/>
            <w:hideMark/>
          </w:tcPr>
          <w:p w14:paraId="08420524"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1.5</w:t>
            </w:r>
          </w:p>
        </w:tc>
        <w:tc>
          <w:tcPr>
            <w:tcW w:w="825" w:type="dxa"/>
            <w:tcBorders>
              <w:top w:val="nil"/>
              <w:left w:val="nil"/>
              <w:bottom w:val="nil"/>
              <w:right w:val="nil"/>
            </w:tcBorders>
            <w:shd w:val="clear" w:color="auto" w:fill="auto"/>
            <w:vAlign w:val="center"/>
            <w:hideMark/>
          </w:tcPr>
          <w:p w14:paraId="67CBE847"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3.7</w:t>
            </w:r>
          </w:p>
        </w:tc>
        <w:tc>
          <w:tcPr>
            <w:tcW w:w="862" w:type="dxa"/>
            <w:tcBorders>
              <w:top w:val="nil"/>
              <w:left w:val="nil"/>
              <w:bottom w:val="nil"/>
              <w:right w:val="nil"/>
            </w:tcBorders>
            <w:shd w:val="clear" w:color="auto" w:fill="auto"/>
            <w:vAlign w:val="center"/>
            <w:hideMark/>
          </w:tcPr>
          <w:p w14:paraId="149AE076"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8.9</w:t>
            </w:r>
          </w:p>
        </w:tc>
        <w:tc>
          <w:tcPr>
            <w:tcW w:w="874" w:type="dxa"/>
            <w:tcBorders>
              <w:top w:val="nil"/>
              <w:left w:val="nil"/>
              <w:bottom w:val="nil"/>
              <w:right w:val="nil"/>
            </w:tcBorders>
            <w:shd w:val="clear" w:color="auto" w:fill="auto"/>
            <w:vAlign w:val="center"/>
            <w:hideMark/>
          </w:tcPr>
          <w:p w14:paraId="14A1BB3A"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12.3</w:t>
            </w:r>
          </w:p>
        </w:tc>
        <w:tc>
          <w:tcPr>
            <w:tcW w:w="874" w:type="dxa"/>
            <w:tcBorders>
              <w:top w:val="nil"/>
              <w:left w:val="nil"/>
              <w:bottom w:val="nil"/>
              <w:right w:val="nil"/>
            </w:tcBorders>
            <w:shd w:val="clear" w:color="auto" w:fill="auto"/>
            <w:vAlign w:val="center"/>
            <w:hideMark/>
          </w:tcPr>
          <w:p w14:paraId="1B9867EE"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12.1</w:t>
            </w:r>
          </w:p>
        </w:tc>
        <w:tc>
          <w:tcPr>
            <w:tcW w:w="1301" w:type="dxa"/>
            <w:tcBorders>
              <w:top w:val="nil"/>
              <w:left w:val="nil"/>
              <w:bottom w:val="nil"/>
              <w:right w:val="nil"/>
            </w:tcBorders>
            <w:shd w:val="clear" w:color="auto" w:fill="auto"/>
            <w:vAlign w:val="center"/>
            <w:hideMark/>
          </w:tcPr>
          <w:p w14:paraId="40D7D05B"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3.6</w:t>
            </w:r>
          </w:p>
        </w:tc>
        <w:tc>
          <w:tcPr>
            <w:tcW w:w="1301" w:type="dxa"/>
            <w:tcBorders>
              <w:top w:val="nil"/>
              <w:left w:val="nil"/>
              <w:bottom w:val="nil"/>
              <w:right w:val="nil"/>
            </w:tcBorders>
            <w:shd w:val="clear" w:color="auto" w:fill="auto"/>
            <w:vAlign w:val="center"/>
            <w:hideMark/>
          </w:tcPr>
          <w:p w14:paraId="3261040F"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12.1</w:t>
            </w:r>
          </w:p>
        </w:tc>
        <w:tc>
          <w:tcPr>
            <w:tcW w:w="1009" w:type="dxa"/>
            <w:tcBorders>
              <w:top w:val="nil"/>
              <w:left w:val="nil"/>
              <w:bottom w:val="nil"/>
              <w:right w:val="nil"/>
            </w:tcBorders>
            <w:shd w:val="clear" w:color="auto" w:fill="auto"/>
            <w:vAlign w:val="center"/>
            <w:hideMark/>
          </w:tcPr>
          <w:p w14:paraId="4EE5747D" w14:textId="77777777" w:rsidR="00B259B1" w:rsidRPr="00B259B1" w:rsidRDefault="00B259B1" w:rsidP="00B259B1">
            <w:pPr>
              <w:spacing w:after="0" w:line="360" w:lineRule="auto"/>
              <w:jc w:val="center"/>
              <w:rPr>
                <w:rFonts w:cstheme="minorHAnsi"/>
                <w:b/>
                <w:sz w:val="20"/>
                <w:szCs w:val="20"/>
              </w:rPr>
            </w:pPr>
            <w:r w:rsidRPr="00B259B1">
              <w:rPr>
                <w:rFonts w:cstheme="minorHAnsi"/>
                <w:b/>
                <w:sz w:val="20"/>
                <w:szCs w:val="20"/>
              </w:rPr>
              <w:t>9.015</w:t>
            </w:r>
          </w:p>
        </w:tc>
      </w:tr>
      <w:tr w:rsidR="00B259B1" w:rsidRPr="00B259B1" w14:paraId="1A1DB708" w14:textId="77777777" w:rsidTr="00420BCB">
        <w:trPr>
          <w:trHeight w:val="397"/>
          <w:jc w:val="center"/>
        </w:trPr>
        <w:tc>
          <w:tcPr>
            <w:tcW w:w="605" w:type="dxa"/>
            <w:tcBorders>
              <w:top w:val="nil"/>
              <w:left w:val="nil"/>
              <w:right w:val="nil"/>
            </w:tcBorders>
            <w:shd w:val="clear" w:color="auto" w:fill="auto"/>
            <w:vAlign w:val="center"/>
            <w:hideMark/>
          </w:tcPr>
          <w:p w14:paraId="088B342B" w14:textId="77777777" w:rsidR="00B259B1" w:rsidRPr="00B259B1" w:rsidRDefault="00B259B1" w:rsidP="00B259B1">
            <w:pPr>
              <w:spacing w:after="0" w:line="360" w:lineRule="auto"/>
              <w:jc w:val="center"/>
              <w:rPr>
                <w:rFonts w:eastAsia="Times New Roman" w:cstheme="minorHAnsi"/>
                <w:b/>
                <w:bCs/>
                <w:color w:val="000000"/>
                <w:sz w:val="20"/>
                <w:szCs w:val="20"/>
                <w:lang w:eastAsia="it-IT"/>
              </w:rPr>
            </w:pPr>
            <w:r w:rsidRPr="00B259B1">
              <w:rPr>
                <w:rFonts w:eastAsia="Times New Roman" w:cstheme="minorHAnsi"/>
                <w:b/>
                <w:bCs/>
                <w:color w:val="000000"/>
                <w:sz w:val="20"/>
                <w:szCs w:val="20"/>
                <w:lang w:eastAsia="it-IT"/>
              </w:rPr>
              <w:t>2017</w:t>
            </w:r>
          </w:p>
        </w:tc>
        <w:tc>
          <w:tcPr>
            <w:tcW w:w="898" w:type="dxa"/>
            <w:tcBorders>
              <w:top w:val="nil"/>
              <w:left w:val="nil"/>
              <w:right w:val="nil"/>
            </w:tcBorders>
            <w:shd w:val="clear" w:color="auto" w:fill="auto"/>
            <w:vAlign w:val="center"/>
            <w:hideMark/>
          </w:tcPr>
          <w:p w14:paraId="5F5D1AEE"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0.1</w:t>
            </w:r>
          </w:p>
        </w:tc>
        <w:tc>
          <w:tcPr>
            <w:tcW w:w="1020" w:type="dxa"/>
            <w:tcBorders>
              <w:top w:val="nil"/>
              <w:left w:val="nil"/>
              <w:right w:val="nil"/>
            </w:tcBorders>
            <w:shd w:val="clear" w:color="auto" w:fill="auto"/>
            <w:vAlign w:val="center"/>
            <w:hideMark/>
          </w:tcPr>
          <w:p w14:paraId="11DEF6FA"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1.5</w:t>
            </w:r>
          </w:p>
        </w:tc>
        <w:tc>
          <w:tcPr>
            <w:tcW w:w="825" w:type="dxa"/>
            <w:tcBorders>
              <w:top w:val="nil"/>
              <w:left w:val="nil"/>
              <w:right w:val="nil"/>
            </w:tcBorders>
            <w:shd w:val="clear" w:color="auto" w:fill="auto"/>
            <w:vAlign w:val="center"/>
            <w:hideMark/>
          </w:tcPr>
          <w:p w14:paraId="31B5987B"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4.2</w:t>
            </w:r>
          </w:p>
        </w:tc>
        <w:tc>
          <w:tcPr>
            <w:tcW w:w="862" w:type="dxa"/>
            <w:tcBorders>
              <w:top w:val="nil"/>
              <w:left w:val="nil"/>
              <w:right w:val="nil"/>
            </w:tcBorders>
            <w:shd w:val="clear" w:color="auto" w:fill="auto"/>
            <w:vAlign w:val="center"/>
            <w:hideMark/>
          </w:tcPr>
          <w:p w14:paraId="1EA78159"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8.7</w:t>
            </w:r>
          </w:p>
        </w:tc>
        <w:tc>
          <w:tcPr>
            <w:tcW w:w="874" w:type="dxa"/>
            <w:tcBorders>
              <w:top w:val="nil"/>
              <w:left w:val="nil"/>
              <w:right w:val="nil"/>
            </w:tcBorders>
            <w:shd w:val="clear" w:color="auto" w:fill="auto"/>
            <w:vAlign w:val="center"/>
            <w:hideMark/>
          </w:tcPr>
          <w:p w14:paraId="1B1A04EE"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10.7</w:t>
            </w:r>
          </w:p>
        </w:tc>
        <w:tc>
          <w:tcPr>
            <w:tcW w:w="874" w:type="dxa"/>
            <w:tcBorders>
              <w:top w:val="nil"/>
              <w:left w:val="nil"/>
              <w:right w:val="nil"/>
            </w:tcBorders>
            <w:shd w:val="clear" w:color="auto" w:fill="auto"/>
            <w:vAlign w:val="center"/>
            <w:hideMark/>
          </w:tcPr>
          <w:p w14:paraId="503BF0E2"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12.4</w:t>
            </w:r>
          </w:p>
        </w:tc>
        <w:tc>
          <w:tcPr>
            <w:tcW w:w="1301" w:type="dxa"/>
            <w:tcBorders>
              <w:top w:val="nil"/>
              <w:left w:val="nil"/>
              <w:right w:val="nil"/>
            </w:tcBorders>
            <w:shd w:val="clear" w:color="auto" w:fill="auto"/>
            <w:vAlign w:val="center"/>
            <w:hideMark/>
          </w:tcPr>
          <w:p w14:paraId="2694E073"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2.9</w:t>
            </w:r>
          </w:p>
        </w:tc>
        <w:tc>
          <w:tcPr>
            <w:tcW w:w="1301" w:type="dxa"/>
            <w:tcBorders>
              <w:top w:val="nil"/>
              <w:left w:val="nil"/>
              <w:right w:val="nil"/>
            </w:tcBorders>
            <w:shd w:val="clear" w:color="auto" w:fill="auto"/>
            <w:vAlign w:val="center"/>
            <w:hideMark/>
          </w:tcPr>
          <w:p w14:paraId="38736728"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11.2</w:t>
            </w:r>
          </w:p>
        </w:tc>
        <w:tc>
          <w:tcPr>
            <w:tcW w:w="1009" w:type="dxa"/>
            <w:tcBorders>
              <w:top w:val="nil"/>
              <w:left w:val="nil"/>
              <w:right w:val="nil"/>
            </w:tcBorders>
            <w:shd w:val="clear" w:color="auto" w:fill="auto"/>
            <w:vAlign w:val="center"/>
            <w:hideMark/>
          </w:tcPr>
          <w:p w14:paraId="3E493908" w14:textId="77777777" w:rsidR="00B259B1" w:rsidRPr="00B259B1" w:rsidRDefault="00B259B1" w:rsidP="00B259B1">
            <w:pPr>
              <w:spacing w:after="0" w:line="360" w:lineRule="auto"/>
              <w:jc w:val="center"/>
              <w:rPr>
                <w:rFonts w:cstheme="minorHAnsi"/>
                <w:b/>
                <w:sz w:val="20"/>
                <w:szCs w:val="20"/>
              </w:rPr>
            </w:pPr>
            <w:r w:rsidRPr="00B259B1">
              <w:rPr>
                <w:rFonts w:cstheme="minorHAnsi"/>
                <w:b/>
                <w:sz w:val="20"/>
                <w:szCs w:val="20"/>
              </w:rPr>
              <w:t>9.538</w:t>
            </w:r>
          </w:p>
        </w:tc>
      </w:tr>
      <w:tr w:rsidR="00B259B1" w:rsidRPr="00B259B1" w14:paraId="029497AC" w14:textId="77777777" w:rsidTr="00420BCB">
        <w:trPr>
          <w:trHeight w:val="397"/>
          <w:jc w:val="center"/>
        </w:trPr>
        <w:tc>
          <w:tcPr>
            <w:tcW w:w="605" w:type="dxa"/>
            <w:tcBorders>
              <w:top w:val="nil"/>
              <w:left w:val="nil"/>
              <w:bottom w:val="single" w:sz="4" w:space="0" w:color="auto"/>
              <w:right w:val="nil"/>
            </w:tcBorders>
            <w:shd w:val="clear" w:color="auto" w:fill="auto"/>
            <w:vAlign w:val="center"/>
            <w:hideMark/>
          </w:tcPr>
          <w:p w14:paraId="0103808E" w14:textId="77777777" w:rsidR="00B259B1" w:rsidRPr="00B259B1" w:rsidRDefault="00B259B1" w:rsidP="00B259B1">
            <w:pPr>
              <w:spacing w:after="0" w:line="360" w:lineRule="auto"/>
              <w:jc w:val="center"/>
              <w:rPr>
                <w:rFonts w:eastAsia="Times New Roman" w:cstheme="minorHAnsi"/>
                <w:b/>
                <w:bCs/>
                <w:color w:val="000000"/>
                <w:sz w:val="20"/>
                <w:szCs w:val="20"/>
                <w:lang w:eastAsia="it-IT"/>
              </w:rPr>
            </w:pPr>
            <w:r w:rsidRPr="00B259B1">
              <w:rPr>
                <w:rFonts w:eastAsia="Times New Roman" w:cstheme="minorHAnsi"/>
                <w:b/>
                <w:bCs/>
                <w:color w:val="000000"/>
                <w:sz w:val="20"/>
                <w:szCs w:val="20"/>
                <w:lang w:eastAsia="it-IT"/>
              </w:rPr>
              <w:t>2018</w:t>
            </w:r>
          </w:p>
        </w:tc>
        <w:tc>
          <w:tcPr>
            <w:tcW w:w="898" w:type="dxa"/>
            <w:tcBorders>
              <w:top w:val="nil"/>
              <w:left w:val="nil"/>
              <w:bottom w:val="single" w:sz="4" w:space="0" w:color="auto"/>
              <w:right w:val="nil"/>
            </w:tcBorders>
            <w:shd w:val="clear" w:color="auto" w:fill="auto"/>
            <w:vAlign w:val="center"/>
            <w:hideMark/>
          </w:tcPr>
          <w:p w14:paraId="7E678878"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0.3</w:t>
            </w:r>
          </w:p>
        </w:tc>
        <w:tc>
          <w:tcPr>
            <w:tcW w:w="1020" w:type="dxa"/>
            <w:tcBorders>
              <w:top w:val="nil"/>
              <w:left w:val="nil"/>
              <w:bottom w:val="single" w:sz="4" w:space="0" w:color="auto"/>
              <w:right w:val="nil"/>
            </w:tcBorders>
            <w:shd w:val="clear" w:color="auto" w:fill="auto"/>
            <w:vAlign w:val="center"/>
            <w:hideMark/>
          </w:tcPr>
          <w:p w14:paraId="64EB6F56"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1.7</w:t>
            </w:r>
          </w:p>
        </w:tc>
        <w:tc>
          <w:tcPr>
            <w:tcW w:w="825" w:type="dxa"/>
            <w:tcBorders>
              <w:top w:val="nil"/>
              <w:left w:val="nil"/>
              <w:bottom w:val="single" w:sz="4" w:space="0" w:color="auto"/>
              <w:right w:val="nil"/>
            </w:tcBorders>
            <w:shd w:val="clear" w:color="auto" w:fill="auto"/>
            <w:vAlign w:val="center"/>
            <w:hideMark/>
          </w:tcPr>
          <w:p w14:paraId="371B127B"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4.4</w:t>
            </w:r>
          </w:p>
        </w:tc>
        <w:tc>
          <w:tcPr>
            <w:tcW w:w="862" w:type="dxa"/>
            <w:tcBorders>
              <w:top w:val="nil"/>
              <w:left w:val="nil"/>
              <w:bottom w:val="single" w:sz="4" w:space="0" w:color="auto"/>
              <w:right w:val="nil"/>
            </w:tcBorders>
            <w:shd w:val="clear" w:color="auto" w:fill="auto"/>
            <w:vAlign w:val="center"/>
            <w:hideMark/>
          </w:tcPr>
          <w:p w14:paraId="24A0C32A"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8.7</w:t>
            </w:r>
          </w:p>
        </w:tc>
        <w:tc>
          <w:tcPr>
            <w:tcW w:w="874" w:type="dxa"/>
            <w:tcBorders>
              <w:top w:val="nil"/>
              <w:left w:val="nil"/>
              <w:bottom w:val="single" w:sz="4" w:space="0" w:color="auto"/>
              <w:right w:val="nil"/>
            </w:tcBorders>
            <w:shd w:val="clear" w:color="auto" w:fill="auto"/>
            <w:vAlign w:val="center"/>
            <w:hideMark/>
          </w:tcPr>
          <w:p w14:paraId="466BEADD"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10.9</w:t>
            </w:r>
          </w:p>
        </w:tc>
        <w:tc>
          <w:tcPr>
            <w:tcW w:w="874" w:type="dxa"/>
            <w:tcBorders>
              <w:top w:val="nil"/>
              <w:left w:val="nil"/>
              <w:bottom w:val="single" w:sz="4" w:space="0" w:color="auto"/>
              <w:right w:val="nil"/>
            </w:tcBorders>
            <w:shd w:val="clear" w:color="auto" w:fill="auto"/>
            <w:vAlign w:val="center"/>
            <w:hideMark/>
          </w:tcPr>
          <w:p w14:paraId="351DFA80"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12.9</w:t>
            </w:r>
          </w:p>
        </w:tc>
        <w:tc>
          <w:tcPr>
            <w:tcW w:w="1301" w:type="dxa"/>
            <w:tcBorders>
              <w:top w:val="nil"/>
              <w:left w:val="nil"/>
              <w:bottom w:val="single" w:sz="4" w:space="0" w:color="auto"/>
              <w:right w:val="nil"/>
            </w:tcBorders>
            <w:shd w:val="clear" w:color="auto" w:fill="auto"/>
            <w:vAlign w:val="center"/>
            <w:hideMark/>
          </w:tcPr>
          <w:p w14:paraId="5A1FCEA6"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3.3</w:t>
            </w:r>
          </w:p>
        </w:tc>
        <w:tc>
          <w:tcPr>
            <w:tcW w:w="1301" w:type="dxa"/>
            <w:tcBorders>
              <w:top w:val="nil"/>
              <w:left w:val="nil"/>
              <w:bottom w:val="single" w:sz="4" w:space="0" w:color="auto"/>
              <w:right w:val="nil"/>
            </w:tcBorders>
            <w:shd w:val="clear" w:color="auto" w:fill="auto"/>
            <w:vAlign w:val="center"/>
            <w:hideMark/>
          </w:tcPr>
          <w:p w14:paraId="1147A175"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11.5</w:t>
            </w:r>
          </w:p>
        </w:tc>
        <w:tc>
          <w:tcPr>
            <w:tcW w:w="1009" w:type="dxa"/>
            <w:tcBorders>
              <w:top w:val="nil"/>
              <w:left w:val="nil"/>
              <w:bottom w:val="single" w:sz="4" w:space="0" w:color="auto"/>
              <w:right w:val="nil"/>
            </w:tcBorders>
            <w:shd w:val="clear" w:color="auto" w:fill="auto"/>
            <w:vAlign w:val="center"/>
            <w:hideMark/>
          </w:tcPr>
          <w:p w14:paraId="0409AF3E" w14:textId="77777777" w:rsidR="00B259B1" w:rsidRPr="00B259B1" w:rsidRDefault="00B259B1" w:rsidP="00B259B1">
            <w:pPr>
              <w:spacing w:after="0" w:line="360" w:lineRule="auto"/>
              <w:jc w:val="center"/>
              <w:rPr>
                <w:rFonts w:cstheme="minorHAnsi"/>
                <w:b/>
                <w:sz w:val="20"/>
                <w:szCs w:val="20"/>
              </w:rPr>
            </w:pPr>
            <w:r w:rsidRPr="00B259B1">
              <w:rPr>
                <w:rFonts w:cstheme="minorHAnsi"/>
                <w:b/>
                <w:sz w:val="20"/>
                <w:szCs w:val="20"/>
              </w:rPr>
              <w:t>9.478</w:t>
            </w:r>
          </w:p>
        </w:tc>
      </w:tr>
      <w:tr w:rsidR="00B259B1" w:rsidRPr="00B259B1" w14:paraId="6E2BB118" w14:textId="77777777" w:rsidTr="00420BCB">
        <w:trPr>
          <w:trHeight w:val="397"/>
          <w:jc w:val="center"/>
        </w:trPr>
        <w:tc>
          <w:tcPr>
            <w:tcW w:w="605" w:type="dxa"/>
            <w:tcBorders>
              <w:top w:val="single" w:sz="4" w:space="0" w:color="auto"/>
              <w:left w:val="nil"/>
              <w:bottom w:val="single" w:sz="4" w:space="0" w:color="auto"/>
              <w:right w:val="nil"/>
            </w:tcBorders>
            <w:shd w:val="clear" w:color="auto" w:fill="auto"/>
            <w:vAlign w:val="center"/>
          </w:tcPr>
          <w:p w14:paraId="198B532A" w14:textId="77777777" w:rsidR="00B259B1" w:rsidRPr="00B259B1" w:rsidRDefault="00B259B1" w:rsidP="00B259B1">
            <w:pPr>
              <w:spacing w:after="0" w:line="360" w:lineRule="auto"/>
              <w:jc w:val="center"/>
              <w:rPr>
                <w:rFonts w:eastAsia="Times New Roman" w:cstheme="minorHAnsi"/>
                <w:b/>
                <w:bCs/>
                <w:color w:val="000000"/>
                <w:sz w:val="20"/>
                <w:szCs w:val="20"/>
                <w:lang w:eastAsia="it-IT"/>
              </w:rPr>
            </w:pPr>
            <w:r w:rsidRPr="00B259B1">
              <w:rPr>
                <w:rFonts w:eastAsia="Times New Roman" w:cstheme="minorHAnsi"/>
                <w:b/>
                <w:bCs/>
                <w:color w:val="000000"/>
                <w:sz w:val="20"/>
                <w:szCs w:val="20"/>
                <w:lang w:eastAsia="it-IT"/>
              </w:rPr>
              <w:t>TOT</w:t>
            </w:r>
          </w:p>
        </w:tc>
        <w:tc>
          <w:tcPr>
            <w:tcW w:w="898" w:type="dxa"/>
            <w:tcBorders>
              <w:top w:val="single" w:sz="4" w:space="0" w:color="auto"/>
              <w:left w:val="nil"/>
              <w:bottom w:val="single" w:sz="4" w:space="0" w:color="auto"/>
              <w:right w:val="nil"/>
            </w:tcBorders>
            <w:shd w:val="clear" w:color="auto" w:fill="auto"/>
            <w:vAlign w:val="center"/>
          </w:tcPr>
          <w:p w14:paraId="11023626"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0.3</w:t>
            </w:r>
          </w:p>
        </w:tc>
        <w:tc>
          <w:tcPr>
            <w:tcW w:w="1020" w:type="dxa"/>
            <w:tcBorders>
              <w:top w:val="single" w:sz="4" w:space="0" w:color="auto"/>
              <w:left w:val="nil"/>
              <w:bottom w:val="single" w:sz="4" w:space="0" w:color="auto"/>
              <w:right w:val="nil"/>
            </w:tcBorders>
            <w:shd w:val="clear" w:color="auto" w:fill="auto"/>
            <w:vAlign w:val="center"/>
          </w:tcPr>
          <w:p w14:paraId="1CE409A7"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1.8</w:t>
            </w:r>
          </w:p>
        </w:tc>
        <w:tc>
          <w:tcPr>
            <w:tcW w:w="825" w:type="dxa"/>
            <w:tcBorders>
              <w:top w:val="single" w:sz="4" w:space="0" w:color="auto"/>
              <w:left w:val="nil"/>
              <w:bottom w:val="single" w:sz="4" w:space="0" w:color="auto"/>
              <w:right w:val="nil"/>
            </w:tcBorders>
            <w:shd w:val="clear" w:color="auto" w:fill="auto"/>
            <w:vAlign w:val="center"/>
          </w:tcPr>
          <w:p w14:paraId="735307D5"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3.0</w:t>
            </w:r>
          </w:p>
        </w:tc>
        <w:tc>
          <w:tcPr>
            <w:tcW w:w="862" w:type="dxa"/>
            <w:tcBorders>
              <w:top w:val="single" w:sz="4" w:space="0" w:color="auto"/>
              <w:left w:val="nil"/>
              <w:bottom w:val="single" w:sz="4" w:space="0" w:color="auto"/>
              <w:right w:val="nil"/>
            </w:tcBorders>
            <w:shd w:val="clear" w:color="auto" w:fill="auto"/>
            <w:vAlign w:val="center"/>
          </w:tcPr>
          <w:p w14:paraId="5360711C"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9.2</w:t>
            </w:r>
          </w:p>
        </w:tc>
        <w:tc>
          <w:tcPr>
            <w:tcW w:w="874" w:type="dxa"/>
            <w:tcBorders>
              <w:top w:val="single" w:sz="4" w:space="0" w:color="auto"/>
              <w:left w:val="nil"/>
              <w:bottom w:val="single" w:sz="4" w:space="0" w:color="auto"/>
              <w:right w:val="nil"/>
            </w:tcBorders>
            <w:shd w:val="clear" w:color="auto" w:fill="auto"/>
            <w:vAlign w:val="center"/>
          </w:tcPr>
          <w:p w14:paraId="35E02D64"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12.1</w:t>
            </w:r>
          </w:p>
        </w:tc>
        <w:tc>
          <w:tcPr>
            <w:tcW w:w="874" w:type="dxa"/>
            <w:tcBorders>
              <w:top w:val="single" w:sz="4" w:space="0" w:color="auto"/>
              <w:left w:val="nil"/>
              <w:bottom w:val="single" w:sz="4" w:space="0" w:color="auto"/>
              <w:right w:val="nil"/>
            </w:tcBorders>
            <w:shd w:val="clear" w:color="auto" w:fill="auto"/>
            <w:vAlign w:val="center"/>
          </w:tcPr>
          <w:p w14:paraId="743A3695"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9.6</w:t>
            </w:r>
          </w:p>
        </w:tc>
        <w:tc>
          <w:tcPr>
            <w:tcW w:w="1301" w:type="dxa"/>
            <w:tcBorders>
              <w:top w:val="single" w:sz="4" w:space="0" w:color="auto"/>
              <w:left w:val="nil"/>
              <w:bottom w:val="single" w:sz="4" w:space="0" w:color="auto"/>
              <w:right w:val="nil"/>
            </w:tcBorders>
            <w:shd w:val="clear" w:color="auto" w:fill="auto"/>
            <w:vAlign w:val="center"/>
          </w:tcPr>
          <w:p w14:paraId="784CE97D"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3.5</w:t>
            </w:r>
          </w:p>
        </w:tc>
        <w:tc>
          <w:tcPr>
            <w:tcW w:w="1301" w:type="dxa"/>
            <w:tcBorders>
              <w:top w:val="single" w:sz="4" w:space="0" w:color="auto"/>
              <w:left w:val="nil"/>
              <w:bottom w:val="single" w:sz="4" w:space="0" w:color="auto"/>
              <w:right w:val="nil"/>
            </w:tcBorders>
            <w:shd w:val="clear" w:color="auto" w:fill="auto"/>
            <w:vAlign w:val="center"/>
          </w:tcPr>
          <w:p w14:paraId="39A647E3" w14:textId="77777777" w:rsidR="00B259B1" w:rsidRPr="00B259B1" w:rsidRDefault="00B259B1" w:rsidP="00B259B1">
            <w:pPr>
              <w:spacing w:after="0" w:line="360" w:lineRule="auto"/>
              <w:jc w:val="center"/>
              <w:rPr>
                <w:rFonts w:cstheme="minorHAnsi"/>
                <w:color w:val="000000"/>
                <w:sz w:val="20"/>
                <w:szCs w:val="20"/>
              </w:rPr>
            </w:pPr>
            <w:r w:rsidRPr="00B259B1">
              <w:rPr>
                <w:rFonts w:cstheme="minorHAnsi"/>
                <w:color w:val="000000"/>
                <w:sz w:val="20"/>
                <w:szCs w:val="20"/>
              </w:rPr>
              <w:t>11.6</w:t>
            </w:r>
          </w:p>
        </w:tc>
        <w:tc>
          <w:tcPr>
            <w:tcW w:w="1009" w:type="dxa"/>
            <w:tcBorders>
              <w:top w:val="single" w:sz="4" w:space="0" w:color="auto"/>
              <w:left w:val="nil"/>
              <w:bottom w:val="single" w:sz="4" w:space="0" w:color="auto"/>
              <w:right w:val="nil"/>
            </w:tcBorders>
            <w:shd w:val="clear" w:color="auto" w:fill="auto"/>
            <w:vAlign w:val="center"/>
          </w:tcPr>
          <w:p w14:paraId="3B20A376" w14:textId="77777777" w:rsidR="00B259B1" w:rsidRPr="00B259B1" w:rsidRDefault="00B259B1" w:rsidP="00B259B1">
            <w:pPr>
              <w:spacing w:after="0" w:line="360" w:lineRule="auto"/>
              <w:jc w:val="center"/>
              <w:rPr>
                <w:rFonts w:cstheme="minorHAnsi"/>
                <w:b/>
                <w:color w:val="000000"/>
                <w:sz w:val="20"/>
                <w:szCs w:val="20"/>
              </w:rPr>
            </w:pPr>
            <w:r w:rsidRPr="00B259B1">
              <w:rPr>
                <w:rFonts w:cstheme="minorHAnsi"/>
                <w:b/>
                <w:color w:val="000000"/>
                <w:sz w:val="20"/>
                <w:szCs w:val="20"/>
              </w:rPr>
              <w:t>46.508</w:t>
            </w:r>
          </w:p>
        </w:tc>
      </w:tr>
    </w:tbl>
    <w:p w14:paraId="0B738B04" w14:textId="77777777" w:rsidR="00B259B1" w:rsidRDefault="00B259B1" w:rsidP="00B259B1">
      <w:pPr>
        <w:spacing w:line="360" w:lineRule="auto"/>
        <w:rPr>
          <w:sz w:val="24"/>
          <w:szCs w:val="24"/>
        </w:rPr>
      </w:pPr>
      <w:r w:rsidRPr="00B259B1">
        <w:rPr>
          <w:sz w:val="24"/>
          <w:szCs w:val="24"/>
        </w:rPr>
        <w:lastRenderedPageBreak/>
        <w:t>Tabella 1. Percentuale (%) degli individui affetti da NCD sul totale dei soggetti con almeno un contatto presso OSF negli anni considerati (2011-2018), stratificati per singola NCD.</w:t>
      </w:r>
    </w:p>
    <w:p w14:paraId="61416630" w14:textId="0BDBD47E" w:rsidR="00B259B1" w:rsidRPr="00B259B1" w:rsidRDefault="00B259B1" w:rsidP="00B259B1">
      <w:pPr>
        <w:spacing w:line="360" w:lineRule="auto"/>
        <w:rPr>
          <w:sz w:val="24"/>
          <w:szCs w:val="24"/>
        </w:rPr>
      </w:pPr>
      <w:r w:rsidRPr="00C911C3">
        <w:rPr>
          <w:b/>
          <w:bCs/>
          <w:sz w:val="24"/>
          <w:szCs w:val="24"/>
        </w:rPr>
        <w:t>L</w:t>
      </w:r>
      <w:r w:rsidRPr="00C911C3">
        <w:rPr>
          <w:b/>
          <w:bCs/>
          <w:sz w:val="24"/>
          <w:szCs w:val="24"/>
        </w:rPr>
        <w:t>e malattie croniche richiedono un approccio assistenziale complesso, poiché necessitano di cure di lunga durata con monitoraggi frequenti</w:t>
      </w:r>
      <w:r w:rsidRPr="00B259B1">
        <w:rPr>
          <w:sz w:val="24"/>
          <w:szCs w:val="24"/>
        </w:rPr>
        <w:t xml:space="preserve"> ed una stretta integrazione con i servizi sanitari. L’irrompere di Covid-19 ha ulteriormente complicato la situazione: durante il periodo di </w:t>
      </w:r>
      <w:proofErr w:type="spellStart"/>
      <w:r w:rsidRPr="00C911C3">
        <w:rPr>
          <w:i/>
          <w:iCs/>
          <w:sz w:val="24"/>
          <w:szCs w:val="24"/>
        </w:rPr>
        <w:t>lockdown</w:t>
      </w:r>
      <w:proofErr w:type="spellEnd"/>
      <w:r w:rsidRPr="00B259B1">
        <w:rPr>
          <w:sz w:val="24"/>
          <w:szCs w:val="24"/>
        </w:rPr>
        <w:t xml:space="preserve"> totale conseguente alla prima ondata pandemica, si è verificata una drastica riduzione degli accessi spontanei alle cure rispetto all’anno precedente e al periodo </w:t>
      </w:r>
      <w:proofErr w:type="spellStart"/>
      <w:r w:rsidRPr="00C911C3">
        <w:rPr>
          <w:i/>
          <w:iCs/>
          <w:sz w:val="24"/>
          <w:szCs w:val="24"/>
        </w:rPr>
        <w:t>pre-lockdown</w:t>
      </w:r>
      <w:proofErr w:type="spellEnd"/>
      <w:r w:rsidRPr="00B259B1">
        <w:rPr>
          <w:sz w:val="24"/>
          <w:szCs w:val="24"/>
        </w:rPr>
        <w:t xml:space="preserve"> (Figura 1).</w:t>
      </w:r>
    </w:p>
    <w:p w14:paraId="24FA2844" w14:textId="6AA8D67E" w:rsidR="00B259B1" w:rsidRPr="00B259B1" w:rsidRDefault="00B259B1" w:rsidP="00B259B1">
      <w:pPr>
        <w:spacing w:line="360" w:lineRule="auto"/>
        <w:rPr>
          <w:sz w:val="24"/>
          <w:szCs w:val="24"/>
        </w:rPr>
      </w:pPr>
      <w:r>
        <w:rPr>
          <w:noProof/>
          <w:lang w:eastAsia="it-IT"/>
        </w:rPr>
        <w:drawing>
          <wp:inline distT="0" distB="0" distL="0" distR="0" wp14:anchorId="6A3988E5" wp14:editId="3C45B353">
            <wp:extent cx="6042660" cy="4191000"/>
            <wp:effectExtent l="0" t="0" r="15240" b="0"/>
            <wp:docPr id="5" name="Grafico 5">
              <a:extLst xmlns:a="http://schemas.openxmlformats.org/drawingml/2006/main">
                <a:ext uri="{FF2B5EF4-FFF2-40B4-BE49-F238E27FC236}">
                  <a16:creationId xmlns:a16="http://schemas.microsoft.com/office/drawing/2014/main" id="{BE29B265-FFCE-497D-B84D-741D49D86F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FF2DA8B" w14:textId="2AA27FBA" w:rsidR="00B259B1" w:rsidRPr="00B259B1" w:rsidRDefault="00B259B1" w:rsidP="00B259B1">
      <w:pPr>
        <w:spacing w:line="360" w:lineRule="auto"/>
        <w:rPr>
          <w:sz w:val="24"/>
          <w:szCs w:val="24"/>
        </w:rPr>
      </w:pPr>
      <w:r w:rsidRPr="00384C13">
        <w:rPr>
          <w:b/>
          <w:bCs/>
          <w:sz w:val="24"/>
          <w:szCs w:val="24"/>
        </w:rPr>
        <w:t> Figura 1</w:t>
      </w:r>
      <w:r w:rsidRPr="00B259B1">
        <w:rPr>
          <w:sz w:val="24"/>
          <w:szCs w:val="24"/>
        </w:rPr>
        <w:t>. Andamento temporale della distribuzione del numero di visite per settimana da gennaio a maggio. Confronto tra gli anni 2019 e 2020.</w:t>
      </w:r>
    </w:p>
    <w:p w14:paraId="2D2A0D00" w14:textId="074D6191" w:rsidR="00B259B1" w:rsidRPr="00B951AC" w:rsidRDefault="00B259B1" w:rsidP="00B259B1">
      <w:pPr>
        <w:spacing w:line="360" w:lineRule="auto"/>
        <w:rPr>
          <w:sz w:val="24"/>
          <w:szCs w:val="24"/>
        </w:rPr>
      </w:pPr>
      <w:r w:rsidRPr="00B259B1">
        <w:rPr>
          <w:sz w:val="24"/>
          <w:szCs w:val="24"/>
        </w:rPr>
        <w:lastRenderedPageBreak/>
        <w:t xml:space="preserve">La causa principale era sicuramente </w:t>
      </w:r>
      <w:r w:rsidRPr="00C911C3">
        <w:rPr>
          <w:b/>
          <w:bCs/>
          <w:sz w:val="24"/>
          <w:szCs w:val="24"/>
        </w:rPr>
        <w:t>il timore del contagio</w:t>
      </w:r>
      <w:r w:rsidRPr="00B259B1">
        <w:rPr>
          <w:sz w:val="24"/>
          <w:szCs w:val="24"/>
        </w:rPr>
        <w:t xml:space="preserve">, ma </w:t>
      </w:r>
      <w:r w:rsidRPr="00C911C3">
        <w:rPr>
          <w:b/>
          <w:bCs/>
          <w:sz w:val="24"/>
          <w:szCs w:val="24"/>
        </w:rPr>
        <w:t>per i migranti non in regola con le leggi sull’immigrazione ha certamente giocato un ruolo anche la paura di incorrere in controlli</w:t>
      </w:r>
      <w:r w:rsidRPr="00B259B1">
        <w:rPr>
          <w:sz w:val="24"/>
          <w:szCs w:val="24"/>
        </w:rPr>
        <w:t xml:space="preserve"> in itinere che avrebbero avuto come esito l’identificazione e le conseguenti sanzioni. </w:t>
      </w:r>
      <w:r w:rsidR="00E83B0B">
        <w:rPr>
          <w:rFonts w:cstheme="minorHAnsi"/>
          <w:sz w:val="24"/>
          <w:szCs w:val="24"/>
        </w:rPr>
        <w:t>«</w:t>
      </w:r>
      <w:r w:rsidRPr="00B259B1">
        <w:rPr>
          <w:sz w:val="24"/>
          <w:szCs w:val="24"/>
        </w:rPr>
        <w:t>È lecito supporre che l’interruzione delle visite di controllo e delle terapie (e le mancate nuove diagnosi) eserciteranno un peso non indifferente sullo stato di salute di questa popolazione già fragile, le cui conseguenze emergeranno nel tempo</w:t>
      </w:r>
      <w:r w:rsidR="00E83B0B">
        <w:rPr>
          <w:rFonts w:cstheme="minorHAnsi"/>
          <w:sz w:val="24"/>
          <w:szCs w:val="24"/>
        </w:rPr>
        <w:t>»</w:t>
      </w:r>
      <w:r w:rsidRPr="00B259B1">
        <w:rPr>
          <w:sz w:val="24"/>
          <w:szCs w:val="24"/>
        </w:rPr>
        <w:t>.</w:t>
      </w:r>
    </w:p>
    <w:sectPr w:rsidR="00B259B1" w:rsidRPr="00B951AC">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A8311" w14:textId="77777777" w:rsidR="00AE21AA" w:rsidRDefault="00AE21AA" w:rsidP="0047638C">
      <w:pPr>
        <w:spacing w:after="0" w:line="240" w:lineRule="auto"/>
      </w:pPr>
      <w:r>
        <w:separator/>
      </w:r>
    </w:p>
  </w:endnote>
  <w:endnote w:type="continuationSeparator" w:id="0">
    <w:p w14:paraId="3D9C7670" w14:textId="77777777" w:rsidR="00AE21AA" w:rsidRDefault="00AE21AA" w:rsidP="0047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D199" w14:textId="77777777" w:rsidR="00401F24" w:rsidRDefault="00401F2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01F24" w:rsidRPr="00401F24" w14:paraId="11D48D2A" w14:textId="77777777" w:rsidTr="00401F24">
      <w:tc>
        <w:tcPr>
          <w:tcW w:w="4814" w:type="dxa"/>
        </w:tcPr>
        <w:p w14:paraId="5A8A7F85" w14:textId="77777777" w:rsidR="00401F24" w:rsidRPr="00CE528A" w:rsidRDefault="00401F24" w:rsidP="00401F24">
          <w:pPr>
            <w:pStyle w:val="Pidipagina"/>
            <w:rPr>
              <w:sz w:val="18"/>
              <w:szCs w:val="18"/>
            </w:rPr>
          </w:pPr>
          <w:r w:rsidRPr="00CE528A">
            <w:rPr>
              <w:sz w:val="18"/>
              <w:szCs w:val="18"/>
            </w:rPr>
            <w:t xml:space="preserve">Dr. Marco Pivato, </w:t>
          </w:r>
          <w:proofErr w:type="spellStart"/>
          <w:r w:rsidRPr="00CE528A">
            <w:rPr>
              <w:i/>
              <w:iCs/>
              <w:sz w:val="18"/>
              <w:szCs w:val="18"/>
            </w:rPr>
            <w:t>MPharm</w:t>
          </w:r>
          <w:proofErr w:type="spellEnd"/>
        </w:p>
        <w:p w14:paraId="0E4AEFE1" w14:textId="77777777" w:rsidR="00401F24" w:rsidRPr="00CE528A" w:rsidRDefault="00401F24" w:rsidP="00401F24">
          <w:pPr>
            <w:pStyle w:val="Pidipagina"/>
            <w:rPr>
              <w:sz w:val="18"/>
              <w:szCs w:val="18"/>
            </w:rPr>
          </w:pPr>
          <w:r w:rsidRPr="00CE528A">
            <w:rPr>
              <w:sz w:val="18"/>
              <w:szCs w:val="18"/>
            </w:rPr>
            <w:t>Società Italiana di Farmacologia - Area Comunicazione</w:t>
          </w:r>
        </w:p>
        <w:p w14:paraId="6BE1470E" w14:textId="77777777" w:rsidR="00401F24" w:rsidRPr="00CE528A" w:rsidRDefault="00401F24" w:rsidP="00401F24">
          <w:pPr>
            <w:pStyle w:val="Pidipagina"/>
            <w:rPr>
              <w:sz w:val="18"/>
              <w:szCs w:val="18"/>
            </w:rPr>
          </w:pPr>
          <w:r w:rsidRPr="00CE528A">
            <w:rPr>
              <w:sz w:val="18"/>
              <w:szCs w:val="18"/>
            </w:rPr>
            <w:t>Via Giovanni Pascoli, 03 - 20129 Milano</w:t>
          </w:r>
        </w:p>
        <w:p w14:paraId="3C6FC664" w14:textId="77777777" w:rsidR="00401F24" w:rsidRPr="00CE528A" w:rsidRDefault="00401F24" w:rsidP="00401F24">
          <w:pPr>
            <w:pStyle w:val="Pidipagina"/>
            <w:rPr>
              <w:sz w:val="18"/>
              <w:szCs w:val="18"/>
            </w:rPr>
          </w:pPr>
          <w:r w:rsidRPr="00CE528A">
            <w:rPr>
              <w:sz w:val="18"/>
              <w:szCs w:val="18"/>
            </w:rPr>
            <w:t>Mob. 349 5297270</w:t>
          </w:r>
        </w:p>
        <w:p w14:paraId="271AD028" w14:textId="77777777" w:rsidR="00401F24" w:rsidRPr="00CE528A" w:rsidRDefault="00AE21AA" w:rsidP="00401F24">
          <w:pPr>
            <w:pStyle w:val="Pidipagina"/>
            <w:rPr>
              <w:sz w:val="18"/>
              <w:szCs w:val="18"/>
            </w:rPr>
          </w:pPr>
          <w:hyperlink r:id="rId1" w:history="1">
            <w:r w:rsidR="00401F24" w:rsidRPr="00A97D96">
              <w:rPr>
                <w:rStyle w:val="Collegamentoipertestuale"/>
                <w:sz w:val="18"/>
                <w:szCs w:val="18"/>
              </w:rPr>
              <w:t>ufficiostampa@sif-farmacologia.it</w:t>
            </w:r>
          </w:hyperlink>
          <w:r w:rsidR="00401F24">
            <w:rPr>
              <w:sz w:val="18"/>
              <w:szCs w:val="18"/>
            </w:rPr>
            <w:t xml:space="preserve"> - </w:t>
          </w:r>
          <w:hyperlink r:id="rId2" w:history="1">
            <w:r w:rsidR="00401F24" w:rsidRPr="00A97D96">
              <w:rPr>
                <w:rStyle w:val="Collegamentoipertestuale"/>
                <w:sz w:val="18"/>
                <w:szCs w:val="18"/>
              </w:rPr>
              <w:t>www.sifweb.org</w:t>
            </w:r>
          </w:hyperlink>
        </w:p>
        <w:p w14:paraId="4FBAC286" w14:textId="77777777" w:rsidR="00401F24" w:rsidRDefault="00401F24" w:rsidP="00CE528A">
          <w:pPr>
            <w:pStyle w:val="Pidipagina"/>
            <w:rPr>
              <w:sz w:val="18"/>
              <w:szCs w:val="18"/>
            </w:rPr>
          </w:pPr>
        </w:p>
      </w:tc>
      <w:tc>
        <w:tcPr>
          <w:tcW w:w="4814" w:type="dxa"/>
        </w:tcPr>
        <w:p w14:paraId="40608B74" w14:textId="77777777" w:rsidR="00401F24" w:rsidRPr="00401F24" w:rsidRDefault="00401F24" w:rsidP="00401F24">
          <w:pPr>
            <w:tabs>
              <w:tab w:val="left" w:pos="1200"/>
            </w:tabs>
            <w:rPr>
              <w:i/>
              <w:iCs/>
              <w:sz w:val="18"/>
              <w:szCs w:val="18"/>
            </w:rPr>
          </w:pPr>
          <w:r w:rsidRPr="00401F24">
            <w:rPr>
              <w:sz w:val="18"/>
              <w:szCs w:val="18"/>
            </w:rPr>
            <w:t xml:space="preserve">Dott.ssa Romina Balducci, </w:t>
          </w:r>
          <w:r w:rsidRPr="00401F24">
            <w:rPr>
              <w:i/>
              <w:iCs/>
              <w:sz w:val="18"/>
              <w:szCs w:val="18"/>
            </w:rPr>
            <w:t>MD</w:t>
          </w:r>
        </w:p>
        <w:p w14:paraId="73B8CC6B" w14:textId="77777777" w:rsidR="00401F24" w:rsidRPr="00CE528A" w:rsidRDefault="00401F24" w:rsidP="00401F24">
          <w:pPr>
            <w:pStyle w:val="Pidipagina"/>
            <w:rPr>
              <w:sz w:val="18"/>
              <w:szCs w:val="18"/>
            </w:rPr>
          </w:pPr>
          <w:r w:rsidRPr="00CE528A">
            <w:rPr>
              <w:sz w:val="18"/>
              <w:szCs w:val="18"/>
            </w:rPr>
            <w:t>Società Italiana di Farmacologia - Area Comunicazione</w:t>
          </w:r>
        </w:p>
        <w:p w14:paraId="13870E60" w14:textId="77777777" w:rsidR="00401F24" w:rsidRPr="00CE528A" w:rsidRDefault="00401F24" w:rsidP="00401F24">
          <w:pPr>
            <w:pStyle w:val="Pidipagina"/>
            <w:rPr>
              <w:sz w:val="18"/>
              <w:szCs w:val="18"/>
            </w:rPr>
          </w:pPr>
          <w:r w:rsidRPr="00CE528A">
            <w:rPr>
              <w:sz w:val="18"/>
              <w:szCs w:val="18"/>
            </w:rPr>
            <w:t>Via Giovanni Pascoli, 03 - 20129 Milano</w:t>
          </w:r>
        </w:p>
        <w:p w14:paraId="3F3F22C3" w14:textId="2EA5B4CC" w:rsidR="00401F24" w:rsidRPr="00AC1F49" w:rsidRDefault="00401F24" w:rsidP="00401F24">
          <w:pPr>
            <w:pStyle w:val="Pidipagina"/>
            <w:rPr>
              <w:sz w:val="18"/>
              <w:szCs w:val="18"/>
            </w:rPr>
          </w:pPr>
          <w:r w:rsidRPr="00AC1F49">
            <w:rPr>
              <w:sz w:val="18"/>
              <w:szCs w:val="18"/>
            </w:rPr>
            <w:t>Mob. 340 8997610</w:t>
          </w:r>
        </w:p>
        <w:p w14:paraId="74255AEB" w14:textId="77777777" w:rsidR="00401F24" w:rsidRPr="00AC1F49" w:rsidRDefault="00AE21AA" w:rsidP="00401F24">
          <w:pPr>
            <w:pStyle w:val="Pidipagina"/>
            <w:rPr>
              <w:sz w:val="18"/>
              <w:szCs w:val="18"/>
            </w:rPr>
          </w:pPr>
          <w:hyperlink r:id="rId3" w:history="1">
            <w:r w:rsidR="00401F24" w:rsidRPr="00AC1F49">
              <w:rPr>
                <w:rStyle w:val="Collegamentoipertestuale"/>
                <w:sz w:val="18"/>
                <w:szCs w:val="18"/>
              </w:rPr>
              <w:t>ufficiostampa@sif-farmacologia.it</w:t>
            </w:r>
          </w:hyperlink>
          <w:r w:rsidR="00401F24" w:rsidRPr="00AC1F49">
            <w:rPr>
              <w:sz w:val="18"/>
              <w:szCs w:val="18"/>
            </w:rPr>
            <w:t xml:space="preserve"> - </w:t>
          </w:r>
          <w:hyperlink r:id="rId4" w:history="1">
            <w:r w:rsidR="00401F24" w:rsidRPr="00AC1F49">
              <w:rPr>
                <w:rStyle w:val="Collegamentoipertestuale"/>
                <w:sz w:val="18"/>
                <w:szCs w:val="18"/>
              </w:rPr>
              <w:t>www.sifweb.org</w:t>
            </w:r>
          </w:hyperlink>
        </w:p>
        <w:p w14:paraId="4AC56585" w14:textId="2EFCFA76" w:rsidR="00401F24" w:rsidRPr="00AC1F49" w:rsidRDefault="00401F24" w:rsidP="00401F24">
          <w:pPr>
            <w:tabs>
              <w:tab w:val="left" w:pos="1200"/>
            </w:tabs>
          </w:pPr>
        </w:p>
      </w:tc>
    </w:tr>
  </w:tbl>
  <w:p w14:paraId="789E123D" w14:textId="77777777" w:rsidR="00DD6900" w:rsidRPr="00AC1F49" w:rsidRDefault="00DD6900" w:rsidP="00CE528A">
    <w:pPr>
      <w:pStyle w:val="Pidipa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B0DF9" w14:textId="77777777" w:rsidR="00AE21AA" w:rsidRDefault="00AE21AA" w:rsidP="0047638C">
      <w:pPr>
        <w:spacing w:after="0" w:line="240" w:lineRule="auto"/>
      </w:pPr>
      <w:r>
        <w:separator/>
      </w:r>
    </w:p>
  </w:footnote>
  <w:footnote w:type="continuationSeparator" w:id="0">
    <w:p w14:paraId="5FB5C50E" w14:textId="77777777" w:rsidR="00AE21AA" w:rsidRDefault="00AE21AA" w:rsidP="0047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A67C" w14:textId="00C7CD10" w:rsidR="0047638C" w:rsidRDefault="00CE528A" w:rsidP="00CE528A">
    <w:pPr>
      <w:pStyle w:val="Intestazione"/>
      <w:tabs>
        <w:tab w:val="left" w:pos="6913"/>
      </w:tabs>
    </w:pPr>
    <w:r>
      <w:tab/>
    </w:r>
    <w:r w:rsidR="0047638C">
      <w:rPr>
        <w:noProof/>
        <w:lang w:eastAsia="it-IT"/>
      </w:rPr>
      <w:drawing>
        <wp:inline distT="0" distB="0" distL="0" distR="0" wp14:anchorId="62B72EC4" wp14:editId="61E2D21E">
          <wp:extent cx="1853184" cy="874776"/>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F - piccolo.jpg"/>
                  <pic:cNvPicPr/>
                </pic:nvPicPr>
                <pic:blipFill>
                  <a:blip r:embed="rId1">
                    <a:extLst>
                      <a:ext uri="{28A0092B-C50C-407E-A947-70E740481C1C}">
                        <a14:useLocalDpi xmlns:a14="http://schemas.microsoft.com/office/drawing/2010/main" val="0"/>
                      </a:ext>
                    </a:extLst>
                  </a:blip>
                  <a:stretch>
                    <a:fillRect/>
                  </a:stretch>
                </pic:blipFill>
                <pic:spPr>
                  <a:xfrm>
                    <a:off x="0" y="0"/>
                    <a:ext cx="1853184" cy="874776"/>
                  </a:xfrm>
                  <a:prstGeom prst="rect">
                    <a:avLst/>
                  </a:prstGeom>
                </pic:spPr>
              </pic:pic>
            </a:graphicData>
          </a:graphic>
        </wp:inline>
      </w:drawing>
    </w:r>
    <w:r>
      <w:tab/>
    </w:r>
  </w:p>
  <w:p w14:paraId="0C1289E6" w14:textId="77777777" w:rsidR="00CE528A" w:rsidRDefault="00CE528A" w:rsidP="00CE528A">
    <w:pPr>
      <w:pStyle w:val="Intestazione"/>
      <w:tabs>
        <w:tab w:val="left" w:pos="691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844"/>
    <w:rsid w:val="000327EB"/>
    <w:rsid w:val="00032FD9"/>
    <w:rsid w:val="00056DA2"/>
    <w:rsid w:val="000957E2"/>
    <w:rsid w:val="000A0944"/>
    <w:rsid w:val="000C3FBD"/>
    <w:rsid w:val="000E6A00"/>
    <w:rsid w:val="001008FF"/>
    <w:rsid w:val="001054A1"/>
    <w:rsid w:val="00111BEC"/>
    <w:rsid w:val="00150993"/>
    <w:rsid w:val="00154D52"/>
    <w:rsid w:val="0022337A"/>
    <w:rsid w:val="002672E3"/>
    <w:rsid w:val="002D107A"/>
    <w:rsid w:val="003037A1"/>
    <w:rsid w:val="003335BB"/>
    <w:rsid w:val="003474A3"/>
    <w:rsid w:val="003621D4"/>
    <w:rsid w:val="00384C13"/>
    <w:rsid w:val="003B6BD9"/>
    <w:rsid w:val="003C0E0C"/>
    <w:rsid w:val="00401F24"/>
    <w:rsid w:val="004314F6"/>
    <w:rsid w:val="00443CD8"/>
    <w:rsid w:val="00445195"/>
    <w:rsid w:val="0047638C"/>
    <w:rsid w:val="00482F1E"/>
    <w:rsid w:val="004D56EA"/>
    <w:rsid w:val="005104CB"/>
    <w:rsid w:val="005A700A"/>
    <w:rsid w:val="005B2369"/>
    <w:rsid w:val="005E0BFE"/>
    <w:rsid w:val="0067548D"/>
    <w:rsid w:val="006840FA"/>
    <w:rsid w:val="006A2CA8"/>
    <w:rsid w:val="006D004A"/>
    <w:rsid w:val="006E4B19"/>
    <w:rsid w:val="00700EDE"/>
    <w:rsid w:val="0070169B"/>
    <w:rsid w:val="007411AD"/>
    <w:rsid w:val="00772342"/>
    <w:rsid w:val="00782AB1"/>
    <w:rsid w:val="007A7811"/>
    <w:rsid w:val="007D27D1"/>
    <w:rsid w:val="00825CE9"/>
    <w:rsid w:val="008419DD"/>
    <w:rsid w:val="00853930"/>
    <w:rsid w:val="008C6F5D"/>
    <w:rsid w:val="00942E7B"/>
    <w:rsid w:val="009A62A9"/>
    <w:rsid w:val="00A93415"/>
    <w:rsid w:val="00AA0C8E"/>
    <w:rsid w:val="00AC1F49"/>
    <w:rsid w:val="00AE21AA"/>
    <w:rsid w:val="00B216E9"/>
    <w:rsid w:val="00B259B1"/>
    <w:rsid w:val="00B61F62"/>
    <w:rsid w:val="00B82FF9"/>
    <w:rsid w:val="00B836AF"/>
    <w:rsid w:val="00B90042"/>
    <w:rsid w:val="00B951AC"/>
    <w:rsid w:val="00BA651E"/>
    <w:rsid w:val="00BC1F42"/>
    <w:rsid w:val="00BF6135"/>
    <w:rsid w:val="00C36AD8"/>
    <w:rsid w:val="00C77E57"/>
    <w:rsid w:val="00C90B94"/>
    <w:rsid w:val="00C911C3"/>
    <w:rsid w:val="00C964C5"/>
    <w:rsid w:val="00CA6CA5"/>
    <w:rsid w:val="00CB66F7"/>
    <w:rsid w:val="00CC6D08"/>
    <w:rsid w:val="00CE528A"/>
    <w:rsid w:val="00CE5F2B"/>
    <w:rsid w:val="00D02D38"/>
    <w:rsid w:val="00D525C4"/>
    <w:rsid w:val="00D84844"/>
    <w:rsid w:val="00DB6D9C"/>
    <w:rsid w:val="00DD6900"/>
    <w:rsid w:val="00E8200A"/>
    <w:rsid w:val="00E83B0B"/>
    <w:rsid w:val="00E878A1"/>
    <w:rsid w:val="00EA6C8A"/>
    <w:rsid w:val="00EB5A1A"/>
    <w:rsid w:val="00EB7355"/>
    <w:rsid w:val="00EC4C69"/>
    <w:rsid w:val="00ED6FC9"/>
    <w:rsid w:val="00EF38D5"/>
    <w:rsid w:val="00F20E8D"/>
    <w:rsid w:val="00FE3C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F6B26"/>
  <w15:chartTrackingRefBased/>
  <w15:docId w15:val="{F0BC775D-2CFF-41D7-818B-03C98921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B6D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638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638C"/>
  </w:style>
  <w:style w:type="paragraph" w:styleId="Pidipagina">
    <w:name w:val="footer"/>
    <w:basedOn w:val="Normale"/>
    <w:link w:val="PidipaginaCarattere"/>
    <w:uiPriority w:val="99"/>
    <w:unhideWhenUsed/>
    <w:rsid w:val="0047638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638C"/>
  </w:style>
  <w:style w:type="character" w:styleId="Collegamentoipertestuale">
    <w:name w:val="Hyperlink"/>
    <w:basedOn w:val="Carpredefinitoparagrafo"/>
    <w:uiPriority w:val="99"/>
    <w:unhideWhenUsed/>
    <w:rsid w:val="00CE528A"/>
    <w:rPr>
      <w:color w:val="0563C1" w:themeColor="hyperlink"/>
      <w:u w:val="single"/>
    </w:rPr>
  </w:style>
  <w:style w:type="character" w:customStyle="1" w:styleId="Menzionenonrisolta1">
    <w:name w:val="Menzione non risolta1"/>
    <w:basedOn w:val="Carpredefinitoparagrafo"/>
    <w:uiPriority w:val="99"/>
    <w:semiHidden/>
    <w:unhideWhenUsed/>
    <w:rsid w:val="00CE528A"/>
    <w:rPr>
      <w:color w:val="605E5C"/>
      <w:shd w:val="clear" w:color="auto" w:fill="E1DFDD"/>
    </w:rPr>
  </w:style>
  <w:style w:type="character" w:styleId="Collegamentovisitato">
    <w:name w:val="FollowedHyperlink"/>
    <w:basedOn w:val="Carpredefinitoparagrafo"/>
    <w:uiPriority w:val="99"/>
    <w:semiHidden/>
    <w:unhideWhenUsed/>
    <w:rsid w:val="00C77E57"/>
    <w:rPr>
      <w:color w:val="954F72" w:themeColor="followedHyperlink"/>
      <w:u w:val="single"/>
    </w:rPr>
  </w:style>
  <w:style w:type="paragraph" w:styleId="Testofumetto">
    <w:name w:val="Balloon Text"/>
    <w:basedOn w:val="Normale"/>
    <w:link w:val="TestofumettoCarattere"/>
    <w:uiPriority w:val="99"/>
    <w:semiHidden/>
    <w:unhideWhenUsed/>
    <w:rsid w:val="007A781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7811"/>
    <w:rPr>
      <w:rFonts w:ascii="Segoe UI" w:hAnsi="Segoe UI" w:cs="Segoe UI"/>
      <w:sz w:val="18"/>
      <w:szCs w:val="18"/>
    </w:rPr>
  </w:style>
  <w:style w:type="table" w:styleId="Grigliatabella">
    <w:name w:val="Table Grid"/>
    <w:basedOn w:val="Tabellanormale"/>
    <w:uiPriority w:val="39"/>
    <w:rsid w:val="00401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sif-farmacologia.it" TargetMode="External"/><Relationship Id="rId2" Type="http://schemas.openxmlformats.org/officeDocument/2006/relationships/hyperlink" Target="http://www.sifweb.org" TargetMode="External"/><Relationship Id="rId1" Type="http://schemas.openxmlformats.org/officeDocument/2006/relationships/hyperlink" Target="mailto:ufficiostampa@sif-farmacologia.it" TargetMode="External"/><Relationship Id="rId4" Type="http://schemas.openxmlformats.org/officeDocument/2006/relationships/hyperlink" Target="http://www.sifwe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'Figura 14'!$B$2</c:f>
              <c:strCache>
                <c:ptCount val="1"/>
                <c:pt idx="0">
                  <c:v>2019</c:v>
                </c:pt>
              </c:strCache>
            </c:strRef>
          </c:tx>
          <c:spPr>
            <a:ln w="28575" cap="rnd">
              <a:solidFill>
                <a:schemeClr val="accent1">
                  <a:lumMod val="50000"/>
                </a:schemeClr>
              </a:solidFill>
              <a:round/>
            </a:ln>
            <a:effectLst/>
          </c:spPr>
          <c:marker>
            <c:symbol val="none"/>
          </c:marker>
          <c:cat>
            <c:strRef>
              <c:f>'Tabella 2'!$A$3:$A$24</c:f>
              <c:strCache>
                <c:ptCount val="22"/>
                <c:pt idx="0">
                  <c:v>01/01 – 07/01</c:v>
                </c:pt>
                <c:pt idx="1">
                  <c:v>08/01 – 14/01</c:v>
                </c:pt>
                <c:pt idx="2">
                  <c:v>15/01 – 21/01</c:v>
                </c:pt>
                <c:pt idx="3">
                  <c:v>22/01 – 28/01</c:v>
                </c:pt>
                <c:pt idx="4">
                  <c:v>29/01 – 04/02</c:v>
                </c:pt>
                <c:pt idx="5">
                  <c:v>05/02 – 11/02</c:v>
                </c:pt>
                <c:pt idx="6">
                  <c:v>12/02 – 18/02</c:v>
                </c:pt>
                <c:pt idx="7">
                  <c:v>19/02 – 25/02</c:v>
                </c:pt>
                <c:pt idx="8">
                  <c:v>26/02 – 04/03</c:v>
                </c:pt>
                <c:pt idx="9">
                  <c:v>05/03 – 11/03</c:v>
                </c:pt>
                <c:pt idx="10">
                  <c:v>12/03 – 18/03</c:v>
                </c:pt>
                <c:pt idx="11">
                  <c:v>19/03 – 25/03</c:v>
                </c:pt>
                <c:pt idx="12">
                  <c:v>26/03 – 01/04</c:v>
                </c:pt>
                <c:pt idx="13">
                  <c:v>02/04 – 08/04</c:v>
                </c:pt>
                <c:pt idx="14">
                  <c:v>09/04 – 15/04</c:v>
                </c:pt>
                <c:pt idx="15">
                  <c:v>16/04 – 22/04</c:v>
                </c:pt>
                <c:pt idx="16">
                  <c:v>23/04 – 29/04</c:v>
                </c:pt>
                <c:pt idx="17">
                  <c:v>30/04 – 06/05</c:v>
                </c:pt>
                <c:pt idx="18">
                  <c:v>07/05 – 13/05</c:v>
                </c:pt>
                <c:pt idx="19">
                  <c:v>14/05 – 20/05</c:v>
                </c:pt>
                <c:pt idx="20">
                  <c:v>21/05 – 27/05</c:v>
                </c:pt>
                <c:pt idx="21">
                  <c:v>28/05 – 03/06</c:v>
                </c:pt>
              </c:strCache>
            </c:strRef>
          </c:cat>
          <c:val>
            <c:numRef>
              <c:f>'Figura 14'!$B$3:$B$24</c:f>
              <c:numCache>
                <c:formatCode>General</c:formatCode>
                <c:ptCount val="22"/>
                <c:pt idx="0">
                  <c:v>146</c:v>
                </c:pt>
                <c:pt idx="1">
                  <c:v>735</c:v>
                </c:pt>
                <c:pt idx="2">
                  <c:v>803</c:v>
                </c:pt>
                <c:pt idx="3">
                  <c:v>739</c:v>
                </c:pt>
                <c:pt idx="4">
                  <c:v>728</c:v>
                </c:pt>
                <c:pt idx="5">
                  <c:v>794</c:v>
                </c:pt>
                <c:pt idx="6">
                  <c:v>673</c:v>
                </c:pt>
                <c:pt idx="7">
                  <c:v>808</c:v>
                </c:pt>
                <c:pt idx="8">
                  <c:v>675</c:v>
                </c:pt>
                <c:pt idx="9">
                  <c:v>668</c:v>
                </c:pt>
                <c:pt idx="10">
                  <c:v>734</c:v>
                </c:pt>
                <c:pt idx="11">
                  <c:v>761</c:v>
                </c:pt>
                <c:pt idx="12">
                  <c:v>557</c:v>
                </c:pt>
                <c:pt idx="13">
                  <c:v>775</c:v>
                </c:pt>
                <c:pt idx="14">
                  <c:v>630</c:v>
                </c:pt>
                <c:pt idx="15">
                  <c:v>505</c:v>
                </c:pt>
                <c:pt idx="16">
                  <c:v>351</c:v>
                </c:pt>
                <c:pt idx="17">
                  <c:v>538</c:v>
                </c:pt>
                <c:pt idx="18">
                  <c:v>612</c:v>
                </c:pt>
                <c:pt idx="19">
                  <c:v>634</c:v>
                </c:pt>
                <c:pt idx="20">
                  <c:v>708</c:v>
                </c:pt>
                <c:pt idx="21">
                  <c:v>578</c:v>
                </c:pt>
              </c:numCache>
            </c:numRef>
          </c:val>
          <c:smooth val="0"/>
          <c:extLst>
            <c:ext xmlns:c16="http://schemas.microsoft.com/office/drawing/2014/chart" uri="{C3380CC4-5D6E-409C-BE32-E72D297353CC}">
              <c16:uniqueId val="{00000000-56D9-475C-B775-23B2564F4862}"/>
            </c:ext>
          </c:extLst>
        </c:ser>
        <c:ser>
          <c:idx val="1"/>
          <c:order val="1"/>
          <c:tx>
            <c:strRef>
              <c:f>'Figura 14'!$C$2</c:f>
              <c:strCache>
                <c:ptCount val="1"/>
                <c:pt idx="0">
                  <c:v>2020</c:v>
                </c:pt>
              </c:strCache>
            </c:strRef>
          </c:tx>
          <c:spPr>
            <a:ln w="28575" cap="rnd">
              <a:solidFill>
                <a:schemeClr val="accent2"/>
              </a:solidFill>
              <a:round/>
            </a:ln>
            <a:effectLst/>
          </c:spPr>
          <c:marker>
            <c:symbol val="none"/>
          </c:marker>
          <c:cat>
            <c:strRef>
              <c:f>'Tabella 2'!$A$3:$A$24</c:f>
              <c:strCache>
                <c:ptCount val="22"/>
                <c:pt idx="0">
                  <c:v>01/01 – 07/01</c:v>
                </c:pt>
                <c:pt idx="1">
                  <c:v>08/01 – 14/01</c:v>
                </c:pt>
                <c:pt idx="2">
                  <c:v>15/01 – 21/01</c:v>
                </c:pt>
                <c:pt idx="3">
                  <c:v>22/01 – 28/01</c:v>
                </c:pt>
                <c:pt idx="4">
                  <c:v>29/01 – 04/02</c:v>
                </c:pt>
                <c:pt idx="5">
                  <c:v>05/02 – 11/02</c:v>
                </c:pt>
                <c:pt idx="6">
                  <c:v>12/02 – 18/02</c:v>
                </c:pt>
                <c:pt idx="7">
                  <c:v>19/02 – 25/02</c:v>
                </c:pt>
                <c:pt idx="8">
                  <c:v>26/02 – 04/03</c:v>
                </c:pt>
                <c:pt idx="9">
                  <c:v>05/03 – 11/03</c:v>
                </c:pt>
                <c:pt idx="10">
                  <c:v>12/03 – 18/03</c:v>
                </c:pt>
                <c:pt idx="11">
                  <c:v>19/03 – 25/03</c:v>
                </c:pt>
                <c:pt idx="12">
                  <c:v>26/03 – 01/04</c:v>
                </c:pt>
                <c:pt idx="13">
                  <c:v>02/04 – 08/04</c:v>
                </c:pt>
                <c:pt idx="14">
                  <c:v>09/04 – 15/04</c:v>
                </c:pt>
                <c:pt idx="15">
                  <c:v>16/04 – 22/04</c:v>
                </c:pt>
                <c:pt idx="16">
                  <c:v>23/04 – 29/04</c:v>
                </c:pt>
                <c:pt idx="17">
                  <c:v>30/04 – 06/05</c:v>
                </c:pt>
                <c:pt idx="18">
                  <c:v>07/05 – 13/05</c:v>
                </c:pt>
                <c:pt idx="19">
                  <c:v>14/05 – 20/05</c:v>
                </c:pt>
                <c:pt idx="20">
                  <c:v>21/05 – 27/05</c:v>
                </c:pt>
                <c:pt idx="21">
                  <c:v>28/05 – 03/06</c:v>
                </c:pt>
              </c:strCache>
            </c:strRef>
          </c:cat>
          <c:val>
            <c:numRef>
              <c:f>'Figura 14'!$C$3:$C$24</c:f>
              <c:numCache>
                <c:formatCode>General</c:formatCode>
                <c:ptCount val="22"/>
                <c:pt idx="0">
                  <c:v>136</c:v>
                </c:pt>
                <c:pt idx="1">
                  <c:v>681</c:v>
                </c:pt>
                <c:pt idx="2">
                  <c:v>738</c:v>
                </c:pt>
                <c:pt idx="3">
                  <c:v>777</c:v>
                </c:pt>
                <c:pt idx="4">
                  <c:v>721</c:v>
                </c:pt>
                <c:pt idx="5">
                  <c:v>760</c:v>
                </c:pt>
                <c:pt idx="6">
                  <c:v>653</c:v>
                </c:pt>
                <c:pt idx="7">
                  <c:v>547</c:v>
                </c:pt>
                <c:pt idx="8">
                  <c:v>668</c:v>
                </c:pt>
                <c:pt idx="9">
                  <c:v>471</c:v>
                </c:pt>
                <c:pt idx="10">
                  <c:v>186</c:v>
                </c:pt>
                <c:pt idx="11">
                  <c:v>244</c:v>
                </c:pt>
                <c:pt idx="12">
                  <c:v>212</c:v>
                </c:pt>
                <c:pt idx="13">
                  <c:v>258</c:v>
                </c:pt>
                <c:pt idx="14">
                  <c:v>190</c:v>
                </c:pt>
                <c:pt idx="15">
                  <c:v>330</c:v>
                </c:pt>
                <c:pt idx="16">
                  <c:v>290</c:v>
                </c:pt>
                <c:pt idx="17">
                  <c:v>364</c:v>
                </c:pt>
                <c:pt idx="18">
                  <c:v>424</c:v>
                </c:pt>
                <c:pt idx="19">
                  <c:v>380</c:v>
                </c:pt>
                <c:pt idx="20">
                  <c:v>483</c:v>
                </c:pt>
                <c:pt idx="21">
                  <c:v>216</c:v>
                </c:pt>
              </c:numCache>
            </c:numRef>
          </c:val>
          <c:smooth val="0"/>
          <c:extLst>
            <c:ext xmlns:c16="http://schemas.microsoft.com/office/drawing/2014/chart" uri="{C3380CC4-5D6E-409C-BE32-E72D297353CC}">
              <c16:uniqueId val="{00000001-56D9-475C-B775-23B2564F4862}"/>
            </c:ext>
          </c:extLst>
        </c:ser>
        <c:dLbls>
          <c:showLegendKey val="0"/>
          <c:showVal val="0"/>
          <c:showCatName val="0"/>
          <c:showSerName val="0"/>
          <c:showPercent val="0"/>
          <c:showBubbleSize val="0"/>
        </c:dLbls>
        <c:smooth val="0"/>
        <c:axId val="1102168463"/>
        <c:axId val="1102179695"/>
      </c:lineChart>
      <c:catAx>
        <c:axId val="110216846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sz="1200">
                    <a:solidFill>
                      <a:sysClr val="windowText" lastClr="000000"/>
                    </a:solidFill>
                    <a:latin typeface="Times New Roman" panose="02020603050405020304" pitchFamily="18" charset="0"/>
                    <a:cs typeface="Times New Roman" panose="02020603050405020304" pitchFamily="18" charset="0"/>
                  </a:rPr>
                  <a:t>Settimane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102179695"/>
        <c:crosses val="autoZero"/>
        <c:auto val="1"/>
        <c:lblAlgn val="ctr"/>
        <c:lblOffset val="100"/>
        <c:noMultiLvlLbl val="0"/>
      </c:catAx>
      <c:valAx>
        <c:axId val="1102179695"/>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t-IT" sz="1200">
                    <a:solidFill>
                      <a:sysClr val="windowText" lastClr="000000"/>
                    </a:solidFill>
                    <a:latin typeface="Times New Roman" panose="02020603050405020304" pitchFamily="18" charset="0"/>
                    <a:cs typeface="Times New Roman" panose="02020603050405020304" pitchFamily="18" charset="0"/>
                  </a:rPr>
                  <a:t>N visite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t-IT"/>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crossAx val="1102168463"/>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Entry>
      <c:legendEntry>
        <c:idx val="1"/>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t-IT"/>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1724</Words>
  <Characters>9831</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Pivato</dc:creator>
  <cp:keywords/>
  <dc:description/>
  <cp:lastModifiedBy>Marco Pivato</cp:lastModifiedBy>
  <cp:revision>12</cp:revision>
  <dcterms:created xsi:type="dcterms:W3CDTF">2021-03-02T09:03:00Z</dcterms:created>
  <dcterms:modified xsi:type="dcterms:W3CDTF">2021-03-02T10:04:00Z</dcterms:modified>
</cp:coreProperties>
</file>