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9F75" w14:textId="22E72F78" w:rsidR="00AC1F49" w:rsidRPr="008B4707" w:rsidRDefault="008B4707" w:rsidP="0051733F">
      <w:pPr>
        <w:jc w:val="center"/>
        <w:rPr>
          <w:b/>
          <w:bCs/>
        </w:rPr>
      </w:pPr>
      <w:r>
        <w:rPr>
          <w:b/>
          <w:bCs/>
        </w:rPr>
        <w:br/>
      </w:r>
      <w:r w:rsidR="0051733F" w:rsidRPr="008B4707">
        <w:rPr>
          <w:b/>
          <w:bCs/>
        </w:rPr>
        <w:t>Un anno di</w:t>
      </w:r>
      <w:r w:rsidR="00AC1F49" w:rsidRPr="008B4707">
        <w:rPr>
          <w:b/>
          <w:bCs/>
        </w:rPr>
        <w:t xml:space="preserve"> COVID</w:t>
      </w:r>
      <w:r w:rsidR="00AF0A1C" w:rsidRPr="008B4707">
        <w:rPr>
          <w:b/>
          <w:bCs/>
        </w:rPr>
        <w:t xml:space="preserve">-19: </w:t>
      </w:r>
      <w:r w:rsidR="00B90248" w:rsidRPr="008B4707">
        <w:rPr>
          <w:b/>
          <w:bCs/>
        </w:rPr>
        <w:t xml:space="preserve">con </w:t>
      </w:r>
      <w:r w:rsidR="0051733F" w:rsidRPr="008B4707">
        <w:rPr>
          <w:b/>
          <w:bCs/>
        </w:rPr>
        <w:t xml:space="preserve">intasamento delle strutture </w:t>
      </w:r>
      <w:r w:rsidR="00B90248" w:rsidRPr="008B4707">
        <w:rPr>
          <w:b/>
          <w:bCs/>
        </w:rPr>
        <w:t xml:space="preserve">fortissimo </w:t>
      </w:r>
      <w:r w:rsidR="0051733F" w:rsidRPr="008B4707">
        <w:rPr>
          <w:b/>
          <w:bCs/>
        </w:rPr>
        <w:t>impatt</w:t>
      </w:r>
      <w:r w:rsidR="00B90248" w:rsidRPr="008B4707">
        <w:rPr>
          <w:b/>
          <w:bCs/>
        </w:rPr>
        <w:t>o</w:t>
      </w:r>
      <w:r w:rsidR="0051733F" w:rsidRPr="008B4707">
        <w:rPr>
          <w:b/>
          <w:bCs/>
        </w:rPr>
        <w:t xml:space="preserve"> su mortalità da altre patologie </w:t>
      </w:r>
      <w:r w:rsidR="0051733F" w:rsidRPr="008B4707">
        <w:rPr>
          <w:b/>
          <w:bCs/>
        </w:rPr>
        <w:br/>
        <w:t>Studio BMJ: i ritardi nell</w:t>
      </w:r>
      <w:r w:rsidR="00B90248" w:rsidRPr="008B4707">
        <w:rPr>
          <w:b/>
          <w:bCs/>
        </w:rPr>
        <w:t>e</w:t>
      </w:r>
      <w:r w:rsidR="0051733F" w:rsidRPr="008B4707">
        <w:rPr>
          <w:b/>
          <w:bCs/>
        </w:rPr>
        <w:t xml:space="preserve"> diagnosi hanno penalizzato di più malati di cuore e di tumori</w:t>
      </w:r>
    </w:p>
    <w:p w14:paraId="4C794077" w14:textId="09711E4E" w:rsidR="00AC1F49" w:rsidRPr="008B4707" w:rsidRDefault="0051733F" w:rsidP="008036A5">
      <w:pPr>
        <w:jc w:val="center"/>
        <w:rPr>
          <w:i/>
          <w:iCs/>
          <w:sz w:val="24"/>
          <w:szCs w:val="24"/>
        </w:rPr>
      </w:pPr>
      <w:r w:rsidRPr="008B4707">
        <w:rPr>
          <w:sz w:val="24"/>
          <w:szCs w:val="24"/>
        </w:rPr>
        <w:br/>
      </w:r>
      <w:r w:rsidR="00FB514B" w:rsidRPr="008B4707">
        <w:rPr>
          <w:i/>
          <w:iCs/>
          <w:sz w:val="24"/>
          <w:szCs w:val="24"/>
        </w:rPr>
        <w:t>Il Sistema Sanitario Nazionale italiano, quello più invidiato al mondo, non ha tenuto alle ondate di malati di COVID-19</w:t>
      </w:r>
      <w:r w:rsidR="008036A5" w:rsidRPr="008B4707">
        <w:rPr>
          <w:i/>
          <w:iCs/>
          <w:sz w:val="24"/>
          <w:szCs w:val="24"/>
        </w:rPr>
        <w:t>. Troppi gli interventi di chirurgia ed esami diagnostici rimandati che sono però costati un maggiore rischio di morte o di aggravamento di altre patologie non-COVID-19. Lo studio del British Medical Journal: una riduzione di oltre il 50% degli accessi in ospedale e ai dipartimenti di emergenza a partire dal marzo 2020. E ancora: posticipare di 8 settimane la chirurgia del tumore della mammella ha determinato un incremento del rischio relativo di morte del 17%, e del 26% posticiparla di 12 settimane.</w:t>
      </w:r>
    </w:p>
    <w:p w14:paraId="63E85E0A" w14:textId="03C11FA2" w:rsidR="0051733F" w:rsidRPr="008B4707" w:rsidRDefault="008B4707" w:rsidP="00AC1F49">
      <w:pPr>
        <w:rPr>
          <w:sz w:val="24"/>
          <w:szCs w:val="24"/>
        </w:rPr>
      </w:pPr>
      <w:r w:rsidRPr="008B4707">
        <w:rPr>
          <w:sz w:val="24"/>
          <w:szCs w:val="24"/>
        </w:rPr>
        <w:t>11 marzo 2021.</w:t>
      </w:r>
    </w:p>
    <w:p w14:paraId="336B5819" w14:textId="753F1206" w:rsidR="00A271AE" w:rsidRPr="008B4707" w:rsidRDefault="00AC1F49" w:rsidP="00AC1F49">
      <w:pPr>
        <w:rPr>
          <w:sz w:val="24"/>
          <w:szCs w:val="24"/>
        </w:rPr>
      </w:pPr>
      <w:r w:rsidRPr="008B4707">
        <w:rPr>
          <w:sz w:val="24"/>
          <w:szCs w:val="24"/>
        </w:rPr>
        <w:t>La pandemia da SARS-C</w:t>
      </w:r>
      <w:r w:rsidR="00AF0A1C" w:rsidRPr="008B4707">
        <w:rPr>
          <w:sz w:val="24"/>
          <w:szCs w:val="24"/>
        </w:rPr>
        <w:t>o</w:t>
      </w:r>
      <w:r w:rsidRPr="008B4707">
        <w:rPr>
          <w:sz w:val="24"/>
          <w:szCs w:val="24"/>
        </w:rPr>
        <w:t>V</w:t>
      </w:r>
      <w:r w:rsidR="00AF0A1C" w:rsidRPr="008B4707">
        <w:rPr>
          <w:sz w:val="24"/>
          <w:szCs w:val="24"/>
        </w:rPr>
        <w:t>-</w:t>
      </w:r>
      <w:r w:rsidRPr="008B4707">
        <w:rPr>
          <w:sz w:val="24"/>
          <w:szCs w:val="24"/>
        </w:rPr>
        <w:t xml:space="preserve">2 ha sicuramente stravolto le nostre vite sotto tutti i punti di vista, economico, sociale oltre che sicuramente sanitario. Particolarmente critico risulta l’impatto sulla capacità dei sistemi sanitari di continuare a erogare i servizi essenziali, in un momento di sovraccarico emergenziale globale. </w:t>
      </w:r>
      <w:r w:rsidRPr="008B4707">
        <w:rPr>
          <w:b/>
          <w:bCs/>
          <w:sz w:val="24"/>
          <w:szCs w:val="24"/>
        </w:rPr>
        <w:t>Il Sistema Sanitario Nazionale (SSN) italiano, senza dubbio uno dei più invidiati al mondo, simbolo di garanzia e tutela universale, si è ritrovato, purtroppo, nell’impossibilità di poter mantenere i servizi preventivi e di cura</w:t>
      </w:r>
      <w:r w:rsidRPr="008B4707">
        <w:rPr>
          <w:sz w:val="24"/>
          <w:szCs w:val="24"/>
        </w:rPr>
        <w:t xml:space="preserve"> per far fronte alla domanda crescente di pazienti affetti da COVID-19 nonché alla carenza di personale, dovuta anche ai contagi tra gli operatori sanitari, in particolare nella prima fase. </w:t>
      </w:r>
      <w:r w:rsidR="00A271AE" w:rsidRPr="008B4707">
        <w:rPr>
          <w:sz w:val="24"/>
          <w:szCs w:val="24"/>
        </w:rPr>
        <w:t xml:space="preserve">Comincia così il racconto del Professor Filippo Drago, dell’Università degli Studi di Catania e componente dell’unità anti-crisi </w:t>
      </w:r>
      <w:r w:rsidR="00C83F3B">
        <w:rPr>
          <w:sz w:val="24"/>
          <w:szCs w:val="24"/>
        </w:rPr>
        <w:t xml:space="preserve">COVID-19 </w:t>
      </w:r>
      <w:r w:rsidR="00A271AE" w:rsidRPr="008B4707">
        <w:rPr>
          <w:sz w:val="24"/>
          <w:szCs w:val="24"/>
        </w:rPr>
        <w:t>della Società Italiana di Farmacologia (SIF), a Congresso fino al 13 marzo.</w:t>
      </w:r>
    </w:p>
    <w:p w14:paraId="5E831018" w14:textId="44B9E411" w:rsidR="00AF0A1C" w:rsidRPr="008B4707" w:rsidRDefault="00AC1F49" w:rsidP="00AC1F49">
      <w:pPr>
        <w:rPr>
          <w:sz w:val="24"/>
          <w:szCs w:val="24"/>
        </w:rPr>
      </w:pPr>
      <w:r w:rsidRPr="008B4707">
        <w:rPr>
          <w:sz w:val="24"/>
          <w:szCs w:val="24"/>
        </w:rPr>
        <w:t xml:space="preserve">Gli </w:t>
      </w:r>
      <w:r w:rsidRPr="008B4707">
        <w:rPr>
          <w:b/>
          <w:bCs/>
          <w:sz w:val="24"/>
          <w:szCs w:val="24"/>
        </w:rPr>
        <w:t xml:space="preserve">interventi di chirurgia elettiva </w:t>
      </w:r>
      <w:r w:rsidR="00AF0A1C" w:rsidRPr="008B4707">
        <w:rPr>
          <w:b/>
          <w:bCs/>
          <w:sz w:val="24"/>
          <w:szCs w:val="24"/>
        </w:rPr>
        <w:t xml:space="preserve">(interventi programmati) </w:t>
      </w:r>
      <w:r w:rsidRPr="008B4707">
        <w:rPr>
          <w:b/>
          <w:bCs/>
          <w:sz w:val="24"/>
          <w:szCs w:val="24"/>
        </w:rPr>
        <w:t>sono stati aboliti</w:t>
      </w:r>
      <w:r w:rsidRPr="008B4707">
        <w:rPr>
          <w:sz w:val="24"/>
          <w:szCs w:val="24"/>
        </w:rPr>
        <w:t xml:space="preserve">, soprattutto per l’affanno delle terapie intensive e la saturazione dei posti a disposizione, e </w:t>
      </w:r>
      <w:r w:rsidR="00A271AE" w:rsidRPr="008B4707">
        <w:rPr>
          <w:rFonts w:cstheme="minorHAnsi"/>
          <w:sz w:val="24"/>
          <w:szCs w:val="24"/>
        </w:rPr>
        <w:t>«</w:t>
      </w:r>
      <w:r w:rsidRPr="008B4707">
        <w:rPr>
          <w:sz w:val="24"/>
          <w:szCs w:val="24"/>
        </w:rPr>
        <w:t xml:space="preserve">in diversi ospedali </w:t>
      </w:r>
      <w:r w:rsidRPr="008B4707">
        <w:rPr>
          <w:b/>
          <w:bCs/>
          <w:sz w:val="24"/>
          <w:szCs w:val="24"/>
        </w:rPr>
        <w:t>l’accesso per visite ambulatoriali non urgenti è stato centellinato</w:t>
      </w:r>
      <w:r w:rsidRPr="008B4707">
        <w:rPr>
          <w:sz w:val="24"/>
          <w:szCs w:val="24"/>
        </w:rPr>
        <w:t xml:space="preserve"> anche per ridurre la circolazione del virus</w:t>
      </w:r>
      <w:r w:rsidR="00A271AE" w:rsidRPr="008B4707">
        <w:rPr>
          <w:sz w:val="24"/>
          <w:szCs w:val="24"/>
        </w:rPr>
        <w:t xml:space="preserve"> – spiega Drago –</w:t>
      </w:r>
      <w:r w:rsidRPr="008B4707">
        <w:rPr>
          <w:sz w:val="24"/>
          <w:szCs w:val="24"/>
        </w:rPr>
        <w:t>.</w:t>
      </w:r>
      <w:r w:rsidR="00AF0A1C" w:rsidRPr="008B4707">
        <w:rPr>
          <w:sz w:val="24"/>
          <w:szCs w:val="24"/>
        </w:rPr>
        <w:t xml:space="preserve"> </w:t>
      </w:r>
      <w:r w:rsidRPr="008B4707">
        <w:rPr>
          <w:sz w:val="24"/>
          <w:szCs w:val="24"/>
        </w:rPr>
        <w:t>A questo si è aggiunto il timore della popolazione di contagiarsi, portando gli stessi ammalati a non raggiungere gli ospedali, anche in caso di urgenza</w:t>
      </w:r>
      <w:r w:rsidR="00A271AE" w:rsidRPr="008B4707">
        <w:rPr>
          <w:rFonts w:cstheme="minorHAnsi"/>
          <w:sz w:val="24"/>
          <w:szCs w:val="24"/>
        </w:rPr>
        <w:t>»</w:t>
      </w:r>
      <w:r w:rsidRPr="008B4707">
        <w:rPr>
          <w:sz w:val="24"/>
          <w:szCs w:val="24"/>
        </w:rPr>
        <w:t xml:space="preserve">. </w:t>
      </w:r>
    </w:p>
    <w:p w14:paraId="62AB03E6" w14:textId="7039854D" w:rsidR="00AC1F49" w:rsidRPr="008B4707" w:rsidRDefault="00AC1F49" w:rsidP="00AC1F49">
      <w:pPr>
        <w:rPr>
          <w:sz w:val="24"/>
          <w:szCs w:val="24"/>
        </w:rPr>
      </w:pPr>
      <w:r w:rsidRPr="008B4707">
        <w:rPr>
          <w:sz w:val="24"/>
          <w:szCs w:val="24"/>
        </w:rPr>
        <w:t xml:space="preserve">Tutto ciò ha contribuito a far registrare un </w:t>
      </w:r>
      <w:r w:rsidRPr="008B4707">
        <w:rPr>
          <w:b/>
          <w:bCs/>
          <w:sz w:val="24"/>
          <w:szCs w:val="24"/>
        </w:rPr>
        <w:t>calo spaventoso degli accessi ai servizi di emergenza-urgenza, con un pericoloso impatto indiretto sulla mortalità e morbilità per altre patologie, in primo luogo cardiovascolari</w:t>
      </w:r>
      <w:r w:rsidRPr="008B4707">
        <w:rPr>
          <w:sz w:val="24"/>
          <w:szCs w:val="24"/>
        </w:rPr>
        <w:t xml:space="preserve"> (come infarto e ictus). </w:t>
      </w:r>
      <w:r w:rsidR="00EF1E17" w:rsidRPr="008B4707">
        <w:rPr>
          <w:rFonts w:cstheme="minorHAnsi"/>
          <w:sz w:val="24"/>
          <w:szCs w:val="24"/>
        </w:rPr>
        <w:t>«</w:t>
      </w:r>
      <w:r w:rsidRPr="008B4707">
        <w:rPr>
          <w:sz w:val="24"/>
          <w:szCs w:val="24"/>
        </w:rPr>
        <w:t xml:space="preserve">La società europea di cardiologia (European Society of Cardiology, ESC) </w:t>
      </w:r>
      <w:r w:rsidR="00EF1E17" w:rsidRPr="008B4707">
        <w:rPr>
          <w:sz w:val="24"/>
          <w:szCs w:val="24"/>
        </w:rPr>
        <w:t xml:space="preserve">– continua il Professore – </w:t>
      </w:r>
      <w:r w:rsidRPr="008B4707">
        <w:rPr>
          <w:sz w:val="24"/>
          <w:szCs w:val="24"/>
        </w:rPr>
        <w:t xml:space="preserve">ha definito l’effetto del COVID-19 sulla salute cardiovascolare come </w:t>
      </w:r>
      <w:r w:rsidRPr="008B4707">
        <w:rPr>
          <w:b/>
          <w:bCs/>
          <w:sz w:val="24"/>
          <w:szCs w:val="24"/>
        </w:rPr>
        <w:t>la ‘</w:t>
      </w:r>
      <w:r w:rsidR="00AF0A1C" w:rsidRPr="008B4707">
        <w:rPr>
          <w:b/>
          <w:bCs/>
          <w:sz w:val="24"/>
          <w:szCs w:val="24"/>
        </w:rPr>
        <w:t>N</w:t>
      </w:r>
      <w:r w:rsidRPr="008B4707">
        <w:rPr>
          <w:b/>
          <w:bCs/>
          <w:sz w:val="24"/>
          <w:szCs w:val="24"/>
        </w:rPr>
        <w:t>uova ondata pandemica’</w:t>
      </w:r>
      <w:r w:rsidRPr="008B4707">
        <w:rPr>
          <w:sz w:val="24"/>
          <w:szCs w:val="24"/>
        </w:rPr>
        <w:t xml:space="preserve"> che porterà a un incremento di morte e disabilità che potenzialmente poteva essere prevenuto</w:t>
      </w:r>
      <w:r w:rsidR="00EF1E17" w:rsidRPr="008B4707">
        <w:rPr>
          <w:rFonts w:cstheme="minorHAnsi"/>
          <w:sz w:val="24"/>
          <w:szCs w:val="24"/>
        </w:rPr>
        <w:t>»</w:t>
      </w:r>
      <w:r w:rsidRPr="008B4707">
        <w:rPr>
          <w:sz w:val="24"/>
          <w:szCs w:val="24"/>
        </w:rPr>
        <w:t xml:space="preserve">. Uno studio condotto su 9 ospedali del Regno Unito, pubblicato nell’ottobre 2020 sul </w:t>
      </w:r>
      <w:r w:rsidRPr="008B4707">
        <w:rPr>
          <w:b/>
          <w:bCs/>
          <w:sz w:val="24"/>
          <w:szCs w:val="24"/>
        </w:rPr>
        <w:t>British Medical Journal</w:t>
      </w:r>
      <w:r w:rsidRPr="008B4707">
        <w:rPr>
          <w:sz w:val="24"/>
          <w:szCs w:val="24"/>
        </w:rPr>
        <w:t xml:space="preserve"> (BMJ), ha evidenziato </w:t>
      </w:r>
      <w:r w:rsidRPr="008B4707">
        <w:rPr>
          <w:b/>
          <w:bCs/>
          <w:sz w:val="24"/>
          <w:szCs w:val="24"/>
        </w:rPr>
        <w:t xml:space="preserve">una </w:t>
      </w:r>
      <w:r w:rsidRPr="008B4707">
        <w:rPr>
          <w:b/>
          <w:bCs/>
          <w:sz w:val="24"/>
          <w:szCs w:val="24"/>
        </w:rPr>
        <w:lastRenderedPageBreak/>
        <w:t>riduzione di oltre il 50% degli accessi in ospedale e ai dipartimenti di emergenza a partire dal marzo 2020</w:t>
      </w:r>
      <w:r w:rsidRPr="008B4707">
        <w:rPr>
          <w:sz w:val="24"/>
          <w:szCs w:val="24"/>
        </w:rPr>
        <w:t xml:space="preserve"> e rispetto agli anni precedenti. In particolare</w:t>
      </w:r>
      <w:r w:rsidR="00AF0A1C" w:rsidRPr="008B4707">
        <w:rPr>
          <w:sz w:val="24"/>
          <w:szCs w:val="24"/>
        </w:rPr>
        <w:t>,</w:t>
      </w:r>
      <w:r w:rsidRPr="008B4707">
        <w:rPr>
          <w:sz w:val="24"/>
          <w:szCs w:val="24"/>
        </w:rPr>
        <w:t xml:space="preserve"> una notevole riduzione hanno subito le procedure per patologie cardiovascolari, come l’impianto di bypass aorto-coronarici, l’endoarterectomia della carotide e la riparazione di aneurismi. </w:t>
      </w:r>
    </w:p>
    <w:p w14:paraId="796F899C" w14:textId="0E05B33B" w:rsidR="00AC1F49" w:rsidRPr="008B4707" w:rsidRDefault="00AC1F49" w:rsidP="00AC1F49">
      <w:pPr>
        <w:rPr>
          <w:sz w:val="24"/>
          <w:szCs w:val="24"/>
        </w:rPr>
      </w:pPr>
      <w:r w:rsidRPr="008B4707">
        <w:rPr>
          <w:sz w:val="24"/>
          <w:szCs w:val="24"/>
        </w:rPr>
        <w:t xml:space="preserve">Notevole attenzione merita anche il tema dei </w:t>
      </w:r>
      <w:r w:rsidRPr="008B4707">
        <w:rPr>
          <w:b/>
          <w:bCs/>
          <w:sz w:val="24"/>
          <w:szCs w:val="24"/>
        </w:rPr>
        <w:t>ritardi nella diagnosi e trattamento delle patologie oncologiche</w:t>
      </w:r>
      <w:r w:rsidRPr="008B4707">
        <w:rPr>
          <w:sz w:val="24"/>
          <w:szCs w:val="24"/>
        </w:rPr>
        <w:t>.</w:t>
      </w:r>
      <w:r w:rsidR="00AF0A1C" w:rsidRPr="008B4707">
        <w:rPr>
          <w:sz w:val="24"/>
          <w:szCs w:val="24"/>
        </w:rPr>
        <w:t xml:space="preserve"> </w:t>
      </w:r>
      <w:r w:rsidR="006D2F71" w:rsidRPr="008B4707">
        <w:rPr>
          <w:rFonts w:cstheme="minorHAnsi"/>
          <w:sz w:val="24"/>
          <w:szCs w:val="24"/>
        </w:rPr>
        <w:t>«</w:t>
      </w:r>
      <w:r w:rsidRPr="008B4707">
        <w:rPr>
          <w:sz w:val="24"/>
          <w:szCs w:val="24"/>
        </w:rPr>
        <w:t>È stato dimostrato, infatti, che i pazienti a cui viene rimandato il trattamento di una patologia neoplastica (chirurgia, terapia sistemica farmacologica e/o radioterapia), anche solo di un mese, possono presentare un incremento relativo della mortalità rispetto al rischio di chi riceve il trattamento in tempi adeguati</w:t>
      </w:r>
      <w:r w:rsidR="006D2F71" w:rsidRPr="008B4707">
        <w:rPr>
          <w:rFonts w:cstheme="minorHAnsi"/>
          <w:sz w:val="24"/>
          <w:szCs w:val="24"/>
        </w:rPr>
        <w:t>»</w:t>
      </w:r>
      <w:r w:rsidRPr="008B4707">
        <w:rPr>
          <w:sz w:val="24"/>
          <w:szCs w:val="24"/>
        </w:rPr>
        <w:t xml:space="preserve">. </w:t>
      </w:r>
      <w:r w:rsidRPr="008B4707">
        <w:rPr>
          <w:b/>
          <w:bCs/>
          <w:sz w:val="24"/>
          <w:szCs w:val="24"/>
        </w:rPr>
        <w:t>I dati, pubblicati sul BMJ</w:t>
      </w:r>
      <w:r w:rsidRPr="008B4707">
        <w:rPr>
          <w:sz w:val="24"/>
          <w:szCs w:val="24"/>
        </w:rPr>
        <w:t xml:space="preserve">, derivano da un’analisi sistematica condotta su 34 studi per valutare l’impatto dei ritardi, dalla diagnosi al primo trattamento, o dal completamento di un trattamento all’inizio del successivo, per sette forme di tumori (vescica, mammella, colon, retto, polmone, cervice, testa-collo). </w:t>
      </w:r>
      <w:r w:rsidRPr="008B4707">
        <w:rPr>
          <w:b/>
          <w:bCs/>
          <w:sz w:val="24"/>
          <w:szCs w:val="24"/>
        </w:rPr>
        <w:t>Posticipare di 8 settimane la chirurgia del tumore della mammella ha determinato un incremento del rischio relativo di morte del 17%, e del 26% posticiparla di 12 settimane</w:t>
      </w:r>
      <w:r w:rsidRPr="008B4707">
        <w:rPr>
          <w:sz w:val="24"/>
          <w:szCs w:val="24"/>
        </w:rPr>
        <w:t xml:space="preserve">. </w:t>
      </w:r>
    </w:p>
    <w:p w14:paraId="41FB9B20" w14:textId="235BA47D" w:rsidR="00AC1F49" w:rsidRPr="008B4707" w:rsidRDefault="00AC1F49" w:rsidP="00AC1F49">
      <w:pPr>
        <w:rPr>
          <w:sz w:val="24"/>
          <w:szCs w:val="24"/>
        </w:rPr>
      </w:pPr>
      <w:r w:rsidRPr="008B4707">
        <w:rPr>
          <w:sz w:val="24"/>
          <w:szCs w:val="24"/>
        </w:rPr>
        <w:t>Si tratta solo di alcuni esempi, che ben spiegano l’impatto che ha avuto la pandemia sulla diagnosi, il trattamento e la gestione dei pazienti affetti da malattie croniche. La conclusione della prima ondata aveva dato speranza e fiducia, e consentito un ritorno alla normalità, anche sul piano dell’attività ospedaliera. Come ben sappiamo, alla prima ondata ne è seguita una seconda, dalla quale ancora stentiamo ad uscire.</w:t>
      </w:r>
    </w:p>
    <w:p w14:paraId="4FB5E56D" w14:textId="4B1D4459" w:rsidR="00401F24" w:rsidRPr="008B4707" w:rsidRDefault="00AC1F49" w:rsidP="00AC1F49">
      <w:pPr>
        <w:rPr>
          <w:sz w:val="24"/>
          <w:szCs w:val="24"/>
        </w:rPr>
      </w:pPr>
      <w:r w:rsidRPr="008B4707">
        <w:rPr>
          <w:sz w:val="24"/>
          <w:szCs w:val="24"/>
        </w:rPr>
        <w:t xml:space="preserve">In attesa che la vaccinazione di massa faccia il suo lavoro, ovvero consenta lo sviluppo di un’immunità di gregge, per lo meno nazionale, e mettendo in atto, al contempo, tutti gli sforzi necessari per evitare che le varianti tanto temute possano prendere piede, </w:t>
      </w:r>
      <w:r w:rsidR="002C7898" w:rsidRPr="008B4707">
        <w:rPr>
          <w:rFonts w:cstheme="minorHAnsi"/>
          <w:sz w:val="24"/>
          <w:szCs w:val="24"/>
        </w:rPr>
        <w:t>«</w:t>
      </w:r>
      <w:r w:rsidRPr="008B4707">
        <w:rPr>
          <w:b/>
          <w:bCs/>
          <w:sz w:val="24"/>
          <w:szCs w:val="24"/>
        </w:rPr>
        <w:t>è necessario operare grandi cambiamenti di sistema, che consentano una convivenza con il virus e una pseudo-normalità</w:t>
      </w:r>
      <w:r w:rsidR="002C7898" w:rsidRPr="008B4707">
        <w:rPr>
          <w:sz w:val="24"/>
          <w:szCs w:val="24"/>
        </w:rPr>
        <w:t xml:space="preserve"> – chiude Drago –. </w:t>
      </w:r>
      <w:r w:rsidRPr="008B4707">
        <w:rPr>
          <w:sz w:val="24"/>
          <w:szCs w:val="24"/>
        </w:rPr>
        <w:t xml:space="preserve">Sicuramente, la strutturazione (o meglio ri-strutturazione) di un sistema territoriale efficiente, supportato anche da servizi di telemedicina, </w:t>
      </w:r>
      <w:r w:rsidRPr="008B4707">
        <w:rPr>
          <w:b/>
          <w:bCs/>
          <w:sz w:val="24"/>
          <w:szCs w:val="24"/>
        </w:rPr>
        <w:t>è fondamentale non solo per la gestione del paziente COVID-19 non ospedalizzato, ma anche per l’assistenza ordinaria a tutti i malati (cronici e acuti)</w:t>
      </w:r>
      <w:r w:rsidRPr="008B4707">
        <w:rPr>
          <w:sz w:val="24"/>
          <w:szCs w:val="24"/>
        </w:rPr>
        <w:t xml:space="preserve"> e/o soggetti a rischio</w:t>
      </w:r>
      <w:r w:rsidR="002C7898" w:rsidRPr="008B4707">
        <w:rPr>
          <w:rFonts w:cstheme="minorHAnsi"/>
          <w:sz w:val="24"/>
          <w:szCs w:val="24"/>
        </w:rPr>
        <w:t>»</w:t>
      </w:r>
      <w:r w:rsidRPr="008B4707">
        <w:rPr>
          <w:sz w:val="24"/>
          <w:szCs w:val="24"/>
        </w:rPr>
        <w:t>.</w:t>
      </w:r>
    </w:p>
    <w:sectPr w:rsidR="00401F24" w:rsidRPr="008B470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E6C91" w14:textId="77777777" w:rsidR="006462EC" w:rsidRDefault="006462EC" w:rsidP="0047638C">
      <w:pPr>
        <w:spacing w:after="0" w:line="240" w:lineRule="auto"/>
      </w:pPr>
      <w:r>
        <w:separator/>
      </w:r>
    </w:p>
  </w:endnote>
  <w:endnote w:type="continuationSeparator" w:id="0">
    <w:p w14:paraId="29A7D184" w14:textId="77777777" w:rsidR="006462EC" w:rsidRDefault="006462EC" w:rsidP="0047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5D199" w14:textId="77777777" w:rsidR="00401F24" w:rsidRDefault="00401F24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01F24" w:rsidRPr="00401F24" w14:paraId="11D48D2A" w14:textId="77777777" w:rsidTr="00401F24">
      <w:tc>
        <w:tcPr>
          <w:tcW w:w="4814" w:type="dxa"/>
        </w:tcPr>
        <w:p w14:paraId="5A8A7F85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 xml:space="preserve">Dr. Marco Pivato, </w:t>
          </w:r>
          <w:r w:rsidRPr="00CE528A">
            <w:rPr>
              <w:i/>
              <w:iCs/>
              <w:sz w:val="18"/>
              <w:szCs w:val="18"/>
            </w:rPr>
            <w:t>MPharm</w:t>
          </w:r>
        </w:p>
        <w:p w14:paraId="0E4AEFE1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Società Italiana di Farmacologia - Area Comunicazione</w:t>
          </w:r>
        </w:p>
        <w:p w14:paraId="6BE1470E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Via Giovanni Pascoli, 03 - 20129 Milano</w:t>
          </w:r>
        </w:p>
        <w:p w14:paraId="3C6FC664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Mob. 349 5297270</w:t>
          </w:r>
        </w:p>
        <w:p w14:paraId="271AD028" w14:textId="77777777" w:rsidR="00401F24" w:rsidRPr="00CE528A" w:rsidRDefault="006462EC" w:rsidP="00401F24">
          <w:pPr>
            <w:pStyle w:val="Pidipagina"/>
            <w:rPr>
              <w:sz w:val="18"/>
              <w:szCs w:val="18"/>
            </w:rPr>
          </w:pPr>
          <w:hyperlink r:id="rId1" w:history="1">
            <w:r w:rsidR="00401F24" w:rsidRPr="00A97D96">
              <w:rPr>
                <w:rStyle w:val="Collegamentoipertestuale"/>
                <w:sz w:val="18"/>
                <w:szCs w:val="18"/>
              </w:rPr>
              <w:t>ufficiostampa@sif-farmacologia.it</w:t>
            </w:r>
          </w:hyperlink>
          <w:r w:rsidR="00401F24">
            <w:rPr>
              <w:sz w:val="18"/>
              <w:szCs w:val="18"/>
            </w:rPr>
            <w:t xml:space="preserve"> - </w:t>
          </w:r>
          <w:hyperlink r:id="rId2" w:history="1">
            <w:r w:rsidR="00401F24" w:rsidRPr="00A97D96">
              <w:rPr>
                <w:rStyle w:val="Collegamentoipertestuale"/>
                <w:sz w:val="18"/>
                <w:szCs w:val="18"/>
              </w:rPr>
              <w:t>www.sifweb.org</w:t>
            </w:r>
          </w:hyperlink>
        </w:p>
        <w:p w14:paraId="4FBAC286" w14:textId="77777777" w:rsidR="00401F24" w:rsidRDefault="00401F24" w:rsidP="00CE528A">
          <w:pPr>
            <w:pStyle w:val="Pidipagina"/>
            <w:rPr>
              <w:sz w:val="18"/>
              <w:szCs w:val="18"/>
            </w:rPr>
          </w:pPr>
        </w:p>
      </w:tc>
      <w:tc>
        <w:tcPr>
          <w:tcW w:w="4814" w:type="dxa"/>
        </w:tcPr>
        <w:p w14:paraId="40608B74" w14:textId="77777777" w:rsidR="00401F24" w:rsidRPr="00401F24" w:rsidRDefault="00401F24" w:rsidP="00401F24">
          <w:pPr>
            <w:tabs>
              <w:tab w:val="left" w:pos="1200"/>
            </w:tabs>
            <w:rPr>
              <w:i/>
              <w:iCs/>
              <w:sz w:val="18"/>
              <w:szCs w:val="18"/>
            </w:rPr>
          </w:pPr>
          <w:r w:rsidRPr="00401F24">
            <w:rPr>
              <w:sz w:val="18"/>
              <w:szCs w:val="18"/>
            </w:rPr>
            <w:t xml:space="preserve">Dott.ssa Romina Balducci, </w:t>
          </w:r>
          <w:r w:rsidRPr="00401F24">
            <w:rPr>
              <w:i/>
              <w:iCs/>
              <w:sz w:val="18"/>
              <w:szCs w:val="18"/>
            </w:rPr>
            <w:t>MD</w:t>
          </w:r>
        </w:p>
        <w:p w14:paraId="73B8CC6B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Società Italiana di Farmacologia - Area Comunicazione</w:t>
          </w:r>
        </w:p>
        <w:p w14:paraId="13870E60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Via Giovanni Pascoli, 03 - 20129 Milano</w:t>
          </w:r>
        </w:p>
        <w:p w14:paraId="3F3F22C3" w14:textId="2EA5B4CC" w:rsidR="00401F24" w:rsidRPr="00AC1F49" w:rsidRDefault="00401F24" w:rsidP="00401F24">
          <w:pPr>
            <w:pStyle w:val="Pidipagina"/>
            <w:rPr>
              <w:sz w:val="18"/>
              <w:szCs w:val="18"/>
            </w:rPr>
          </w:pPr>
          <w:r w:rsidRPr="00AC1F49">
            <w:rPr>
              <w:sz w:val="18"/>
              <w:szCs w:val="18"/>
            </w:rPr>
            <w:t>Mob. 340 8997610</w:t>
          </w:r>
        </w:p>
        <w:p w14:paraId="74255AEB" w14:textId="77777777" w:rsidR="00401F24" w:rsidRPr="00AC1F49" w:rsidRDefault="006462EC" w:rsidP="00401F24">
          <w:pPr>
            <w:pStyle w:val="Pidipagina"/>
            <w:rPr>
              <w:sz w:val="18"/>
              <w:szCs w:val="18"/>
            </w:rPr>
          </w:pPr>
          <w:hyperlink r:id="rId3" w:history="1">
            <w:r w:rsidR="00401F24" w:rsidRPr="00AC1F49">
              <w:rPr>
                <w:rStyle w:val="Collegamentoipertestuale"/>
                <w:sz w:val="18"/>
                <w:szCs w:val="18"/>
              </w:rPr>
              <w:t>ufficiostampa@sif-farmacologia.it</w:t>
            </w:r>
          </w:hyperlink>
          <w:r w:rsidR="00401F24" w:rsidRPr="00AC1F49">
            <w:rPr>
              <w:sz w:val="18"/>
              <w:szCs w:val="18"/>
            </w:rPr>
            <w:t xml:space="preserve"> - </w:t>
          </w:r>
          <w:hyperlink r:id="rId4" w:history="1">
            <w:r w:rsidR="00401F24" w:rsidRPr="00AC1F49">
              <w:rPr>
                <w:rStyle w:val="Collegamentoipertestuale"/>
                <w:sz w:val="18"/>
                <w:szCs w:val="18"/>
              </w:rPr>
              <w:t>www.sifweb.org</w:t>
            </w:r>
          </w:hyperlink>
        </w:p>
        <w:p w14:paraId="4AC56585" w14:textId="2EFCFA76" w:rsidR="00401F24" w:rsidRPr="00AC1F49" w:rsidRDefault="00401F24" w:rsidP="00401F24">
          <w:pPr>
            <w:tabs>
              <w:tab w:val="left" w:pos="1200"/>
            </w:tabs>
          </w:pPr>
        </w:p>
      </w:tc>
    </w:tr>
  </w:tbl>
  <w:p w14:paraId="789E123D" w14:textId="77777777" w:rsidR="00DD6900" w:rsidRPr="00AC1F49" w:rsidRDefault="00DD6900" w:rsidP="00CE528A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BC328" w14:textId="77777777" w:rsidR="006462EC" w:rsidRDefault="006462EC" w:rsidP="0047638C">
      <w:pPr>
        <w:spacing w:after="0" w:line="240" w:lineRule="auto"/>
      </w:pPr>
      <w:r>
        <w:separator/>
      </w:r>
    </w:p>
  </w:footnote>
  <w:footnote w:type="continuationSeparator" w:id="0">
    <w:p w14:paraId="5DB9D813" w14:textId="77777777" w:rsidR="006462EC" w:rsidRDefault="006462EC" w:rsidP="0047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5A67C" w14:textId="00C7CD10" w:rsidR="0047638C" w:rsidRDefault="00CE528A" w:rsidP="00CE528A">
    <w:pPr>
      <w:pStyle w:val="Intestazione"/>
      <w:tabs>
        <w:tab w:val="left" w:pos="6913"/>
      </w:tabs>
    </w:pPr>
    <w:r>
      <w:tab/>
    </w:r>
    <w:r w:rsidR="0047638C">
      <w:rPr>
        <w:noProof/>
        <w:lang w:eastAsia="it-IT"/>
      </w:rPr>
      <w:drawing>
        <wp:inline distT="0" distB="0" distL="0" distR="0" wp14:anchorId="62B72EC4" wp14:editId="61E2D21E">
          <wp:extent cx="1853184" cy="874776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4" cy="87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C1289E6" w14:textId="77777777" w:rsidR="00CE528A" w:rsidRDefault="00CE528A" w:rsidP="00CE528A">
    <w:pPr>
      <w:pStyle w:val="Intestazione"/>
      <w:tabs>
        <w:tab w:val="left" w:pos="69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44"/>
    <w:rsid w:val="000327EB"/>
    <w:rsid w:val="00056DA2"/>
    <w:rsid w:val="00063C52"/>
    <w:rsid w:val="000957E2"/>
    <w:rsid w:val="000C3FBD"/>
    <w:rsid w:val="001008FF"/>
    <w:rsid w:val="001054A1"/>
    <w:rsid w:val="00111BEC"/>
    <w:rsid w:val="00150993"/>
    <w:rsid w:val="00154D52"/>
    <w:rsid w:val="0022337A"/>
    <w:rsid w:val="002672E3"/>
    <w:rsid w:val="002C7898"/>
    <w:rsid w:val="002D107A"/>
    <w:rsid w:val="003335BB"/>
    <w:rsid w:val="003474A3"/>
    <w:rsid w:val="003621D4"/>
    <w:rsid w:val="003B6BD9"/>
    <w:rsid w:val="003C0E0C"/>
    <w:rsid w:val="00401F24"/>
    <w:rsid w:val="004314F6"/>
    <w:rsid w:val="00445195"/>
    <w:rsid w:val="0047638C"/>
    <w:rsid w:val="00482F1E"/>
    <w:rsid w:val="004D56EA"/>
    <w:rsid w:val="0051733F"/>
    <w:rsid w:val="005B2369"/>
    <w:rsid w:val="005E0BFE"/>
    <w:rsid w:val="006462EC"/>
    <w:rsid w:val="00662A84"/>
    <w:rsid w:val="006D2F71"/>
    <w:rsid w:val="006E4B19"/>
    <w:rsid w:val="00700EDE"/>
    <w:rsid w:val="007411AD"/>
    <w:rsid w:val="00772342"/>
    <w:rsid w:val="00782AB1"/>
    <w:rsid w:val="007A7811"/>
    <w:rsid w:val="007D27D1"/>
    <w:rsid w:val="008036A5"/>
    <w:rsid w:val="00825CE9"/>
    <w:rsid w:val="008419DD"/>
    <w:rsid w:val="008B4707"/>
    <w:rsid w:val="008B6C9E"/>
    <w:rsid w:val="008C6F5D"/>
    <w:rsid w:val="00942E7B"/>
    <w:rsid w:val="00A271AE"/>
    <w:rsid w:val="00A93415"/>
    <w:rsid w:val="00AA0C8E"/>
    <w:rsid w:val="00AA50E0"/>
    <w:rsid w:val="00AC1F49"/>
    <w:rsid w:val="00AF0A1C"/>
    <w:rsid w:val="00B05D6C"/>
    <w:rsid w:val="00B216E9"/>
    <w:rsid w:val="00B61F62"/>
    <w:rsid w:val="00B82FF9"/>
    <w:rsid w:val="00B90042"/>
    <w:rsid w:val="00B90248"/>
    <w:rsid w:val="00BA651E"/>
    <w:rsid w:val="00BB73A9"/>
    <w:rsid w:val="00BC1F42"/>
    <w:rsid w:val="00BF6135"/>
    <w:rsid w:val="00C36AD8"/>
    <w:rsid w:val="00C77E57"/>
    <w:rsid w:val="00C83F3B"/>
    <w:rsid w:val="00C90B94"/>
    <w:rsid w:val="00C964C5"/>
    <w:rsid w:val="00CA6CA5"/>
    <w:rsid w:val="00CB66F7"/>
    <w:rsid w:val="00CE528A"/>
    <w:rsid w:val="00CE5F2B"/>
    <w:rsid w:val="00D02D38"/>
    <w:rsid w:val="00D51ECD"/>
    <w:rsid w:val="00D525C4"/>
    <w:rsid w:val="00D84844"/>
    <w:rsid w:val="00DD6900"/>
    <w:rsid w:val="00E8200A"/>
    <w:rsid w:val="00EA6C8A"/>
    <w:rsid w:val="00EB7355"/>
    <w:rsid w:val="00EC4C69"/>
    <w:rsid w:val="00ED6FC9"/>
    <w:rsid w:val="00EF1E17"/>
    <w:rsid w:val="00EF38D5"/>
    <w:rsid w:val="00FB514B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F6B26"/>
  <w15:chartTrackingRefBased/>
  <w15:docId w15:val="{F0BC775D-2CFF-41D7-818B-03C98921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38C"/>
  </w:style>
  <w:style w:type="paragraph" w:styleId="Pidipagina">
    <w:name w:val="footer"/>
    <w:basedOn w:val="Normale"/>
    <w:link w:val="PidipaginaCarattere"/>
    <w:uiPriority w:val="99"/>
    <w:unhideWhenUsed/>
    <w:rsid w:val="00476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38C"/>
  </w:style>
  <w:style w:type="character" w:styleId="Collegamentoipertestuale">
    <w:name w:val="Hyperlink"/>
    <w:basedOn w:val="Carpredefinitoparagrafo"/>
    <w:uiPriority w:val="99"/>
    <w:unhideWhenUsed/>
    <w:rsid w:val="00CE528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528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7E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81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0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sif-farmacologia.it" TargetMode="External"/><Relationship Id="rId2" Type="http://schemas.openxmlformats.org/officeDocument/2006/relationships/hyperlink" Target="http://www.sifweb.org" TargetMode="External"/><Relationship Id="rId1" Type="http://schemas.openxmlformats.org/officeDocument/2006/relationships/hyperlink" Target="mailto:ufficiostampa@sif-farmacologia.it" TargetMode="External"/><Relationship Id="rId4" Type="http://schemas.openxmlformats.org/officeDocument/2006/relationships/hyperlink" Target="http://www.sifwe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Pivato</dc:creator>
  <cp:keywords/>
  <dc:description/>
  <cp:lastModifiedBy>Marco Pivato</cp:lastModifiedBy>
  <cp:revision>18</cp:revision>
  <dcterms:created xsi:type="dcterms:W3CDTF">2021-02-22T18:10:00Z</dcterms:created>
  <dcterms:modified xsi:type="dcterms:W3CDTF">2021-03-06T10:55:00Z</dcterms:modified>
</cp:coreProperties>
</file>