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353F7" w14:textId="305E3C14" w:rsidR="004B5287" w:rsidRDefault="004B5287" w:rsidP="00CE667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Vaccino anti-COVID19 A</w:t>
      </w:r>
      <w:r w:rsidR="00CE6676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traZeneca</w:t>
      </w:r>
      <w:r w:rsidR="00CE6676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CE6676">
        <w:rPr>
          <w:b/>
          <w:bCs/>
          <w:sz w:val="24"/>
          <w:szCs w:val="24"/>
        </w:rPr>
        <w:t>le raccomandazioni di SIF dopo i dati di EMA</w:t>
      </w:r>
    </w:p>
    <w:p w14:paraId="060FE27E" w14:textId="77777777" w:rsidR="00CE6676" w:rsidRDefault="00CE6676" w:rsidP="00CE6676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C98F029" w14:textId="2B03A3E0" w:rsidR="004B5287" w:rsidRPr="00CE6676" w:rsidRDefault="00CE6676" w:rsidP="00CE6676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CE6676">
        <w:rPr>
          <w:i/>
          <w:iCs/>
          <w:sz w:val="24"/>
          <w:szCs w:val="24"/>
        </w:rPr>
        <w:t>L</w:t>
      </w:r>
      <w:r w:rsidR="004B5287" w:rsidRPr="00CE6676">
        <w:rPr>
          <w:i/>
          <w:iCs/>
          <w:sz w:val="24"/>
          <w:szCs w:val="24"/>
        </w:rPr>
        <w:t xml:space="preserve">’efficacia documentata </w:t>
      </w:r>
      <w:r w:rsidR="004A03BD">
        <w:rPr>
          <w:i/>
          <w:iCs/>
          <w:sz w:val="24"/>
          <w:szCs w:val="24"/>
        </w:rPr>
        <w:t xml:space="preserve">del vaccino </w:t>
      </w:r>
      <w:r w:rsidR="004B5287" w:rsidRPr="00CE6676">
        <w:rPr>
          <w:i/>
          <w:iCs/>
          <w:sz w:val="24"/>
          <w:szCs w:val="24"/>
        </w:rPr>
        <w:t>nel prevenire ospedalizzazioni e decessi da COVID19 supera l’estremamente piccolo rischio di coagulazione intravascolare disseminata (CID) o trombosi cerebrale del seno venoso</w:t>
      </w:r>
      <w:r w:rsidRPr="00CE6676">
        <w:rPr>
          <w:i/>
          <w:iCs/>
          <w:sz w:val="24"/>
          <w:szCs w:val="24"/>
        </w:rPr>
        <w:t xml:space="preserve">. </w:t>
      </w:r>
      <w:r>
        <w:rPr>
          <w:rFonts w:cstheme="minorHAnsi"/>
          <w:i/>
          <w:iCs/>
          <w:sz w:val="24"/>
          <w:szCs w:val="24"/>
        </w:rPr>
        <w:t>È</w:t>
      </w:r>
      <w:r>
        <w:rPr>
          <w:i/>
          <w:iCs/>
          <w:sz w:val="24"/>
          <w:szCs w:val="24"/>
        </w:rPr>
        <w:t xml:space="preserve"> necessario </w:t>
      </w:r>
      <w:r w:rsidR="004A03BD">
        <w:rPr>
          <w:i/>
          <w:iCs/>
          <w:sz w:val="24"/>
          <w:szCs w:val="24"/>
        </w:rPr>
        <w:t xml:space="preserve">quindi </w:t>
      </w:r>
      <w:r>
        <w:rPr>
          <w:i/>
          <w:iCs/>
          <w:sz w:val="24"/>
          <w:szCs w:val="24"/>
        </w:rPr>
        <w:t>a</w:t>
      </w:r>
      <w:r w:rsidRPr="00CE6676">
        <w:rPr>
          <w:i/>
          <w:iCs/>
          <w:sz w:val="24"/>
          <w:szCs w:val="24"/>
        </w:rPr>
        <w:t>derire alla campagna di vaccinazione, come da indicazioni del Ministero della Salute, indipendentemente dal vaccino proposto ed evitare rinunce alla</w:t>
      </w:r>
      <w:r>
        <w:rPr>
          <w:i/>
          <w:iCs/>
          <w:sz w:val="24"/>
          <w:szCs w:val="24"/>
        </w:rPr>
        <w:t xml:space="preserve"> profilassi</w:t>
      </w:r>
      <w:r w:rsidRPr="00CE6676">
        <w:rPr>
          <w:i/>
          <w:iCs/>
          <w:sz w:val="24"/>
          <w:szCs w:val="24"/>
        </w:rPr>
        <w:t xml:space="preserve"> al fine di non rallentare la </w:t>
      </w:r>
      <w:r w:rsidR="004A03BD">
        <w:rPr>
          <w:i/>
          <w:iCs/>
          <w:sz w:val="24"/>
          <w:szCs w:val="24"/>
        </w:rPr>
        <w:t xml:space="preserve">stessa </w:t>
      </w:r>
      <w:r w:rsidRPr="00CE6676">
        <w:rPr>
          <w:i/>
          <w:iCs/>
          <w:sz w:val="24"/>
          <w:szCs w:val="24"/>
        </w:rPr>
        <w:t>campagna vaccinale.</w:t>
      </w:r>
    </w:p>
    <w:p w14:paraId="574128FD" w14:textId="77777777" w:rsidR="004B5287" w:rsidRDefault="004B5287" w:rsidP="004B5287">
      <w:pPr>
        <w:spacing w:line="360" w:lineRule="auto"/>
      </w:pPr>
    </w:p>
    <w:p w14:paraId="485743C3" w14:textId="0468668D" w:rsidR="00B60534" w:rsidRDefault="00B60534" w:rsidP="004B5287">
      <w:pPr>
        <w:spacing w:line="360" w:lineRule="auto"/>
      </w:pPr>
      <w:r>
        <w:t>19/03/2021</w:t>
      </w:r>
    </w:p>
    <w:p w14:paraId="79CE5BB5" w14:textId="143ECD50" w:rsidR="004B5287" w:rsidRDefault="004B5287" w:rsidP="004B5287">
      <w:pPr>
        <w:spacing w:line="360" w:lineRule="auto"/>
      </w:pPr>
      <w:r>
        <w:t xml:space="preserve">In data 18 marzo 2021 il </w:t>
      </w:r>
      <w:r w:rsidRPr="00E162CD">
        <w:t>Pharmacovigilance Risk Assessment Committee</w:t>
      </w:r>
      <w:r>
        <w:t xml:space="preserve"> dell’European Medicine Agency, dopo attenta rivalutazione di tutte le evidenze ad oggi disponibili, ha concluso che il vaccino anti-COVID19, commercializzato da AstraZeneca (ChAdOx1-S [ricombinante]), continua a mostrare un profilo beneficio-rischio positivo. </w:t>
      </w:r>
    </w:p>
    <w:p w14:paraId="7CA11ADF" w14:textId="6575527D" w:rsidR="004B5287" w:rsidRDefault="004B5287" w:rsidP="004B5287">
      <w:pPr>
        <w:spacing w:line="360" w:lineRule="auto"/>
      </w:pPr>
      <w:r>
        <w:rPr>
          <w:rFonts w:cstheme="minorHAnsi"/>
        </w:rPr>
        <w:t>È</w:t>
      </w:r>
      <w:r>
        <w:t xml:space="preserve"> opportuno riportare sinteticamente alcune considerazioni:</w:t>
      </w:r>
    </w:p>
    <w:p w14:paraId="4B90E169" w14:textId="77777777" w:rsidR="004B5287" w:rsidRDefault="004B5287" w:rsidP="004B5287">
      <w:pPr>
        <w:pStyle w:val="Paragrafoelenco"/>
        <w:numPr>
          <w:ilvl w:val="0"/>
          <w:numId w:val="1"/>
        </w:numPr>
        <w:spacing w:line="360" w:lineRule="auto"/>
      </w:pPr>
      <w:r>
        <w:t xml:space="preserve">In collaborazione con agenzie nazionali del farmaco dei singoli stati Europei e </w:t>
      </w:r>
      <w:r w:rsidRPr="00E162CD">
        <w:t>Medicines and Healthcare products Regulatory Agency</w:t>
      </w:r>
      <w:r>
        <w:t xml:space="preserve"> del Regno Unito, oltre che con il supporto di esperti internazionali nell’ambito di patologie della coagulazione, sono stati (ri)valutati attentamente tutti i dati pre-clinici e quelli clinici dei trial registrativi del vaccino; sono inoltre stati analizzati tutti i casi riportati al sistema di segnalazione spontanea Eudravigilance e di altre agenzie regolatorie internazionali in merito a disordini della coagulazione ed eventi tromboembolici, comparsi dopo la vaccinazione.</w:t>
      </w:r>
    </w:p>
    <w:p w14:paraId="1024517D" w14:textId="77777777" w:rsidR="004B5287" w:rsidRDefault="004B5287" w:rsidP="004B5287">
      <w:pPr>
        <w:pStyle w:val="Paragrafoelenco"/>
        <w:numPr>
          <w:ilvl w:val="0"/>
          <w:numId w:val="1"/>
        </w:numPr>
        <w:spacing w:line="360" w:lineRule="auto"/>
      </w:pPr>
      <w:r>
        <w:t>Non è stata riscontrata alcuna criticità in relazione alla qualità dei lotti del vaccino che erano stati precauzionalmente sospesi in diversi Paesi Europei.</w:t>
      </w:r>
    </w:p>
    <w:p w14:paraId="5C56E1CE" w14:textId="59654BED" w:rsidR="004B5287" w:rsidRDefault="004B5287" w:rsidP="004B5287">
      <w:pPr>
        <w:pStyle w:val="Paragrafoelenco"/>
        <w:numPr>
          <w:ilvl w:val="0"/>
          <w:numId w:val="1"/>
        </w:numPr>
        <w:spacing w:line="360" w:lineRule="auto"/>
      </w:pPr>
      <w:r>
        <w:t>Complessivamente ad oggi circa 7 milioni di persone sono state vaccinate con il suddetto vaccino in Europa e 12 milioni nel Regno Unito, ed in altri Paesi è tuttora in corso la vaccinazione. Il tasso di eventi tromboembolici riportati nei soggetti vaccinati è inferiore rispetto a quanto atteso in base all’incidenza nota di tali eventi nella popolazione generale. D’altra parte, va ricordato che lo stesso COVID19 è una patologia infettiva che aumenta sensibilmente il rischio di eventi tromboembolici.</w:t>
      </w:r>
    </w:p>
    <w:p w14:paraId="0C217AEC" w14:textId="77777777" w:rsidR="004B5287" w:rsidRDefault="004B5287" w:rsidP="004B5287">
      <w:pPr>
        <w:pStyle w:val="Paragrafoelenco"/>
        <w:numPr>
          <w:ilvl w:val="0"/>
          <w:numId w:val="1"/>
        </w:numPr>
        <w:spacing w:line="360" w:lineRule="auto"/>
      </w:pPr>
      <w:r>
        <w:t xml:space="preserve">Sono stati però riportati alcuni disordini della coagulazione di anomala presentazione, associati a trombocitopenia, con o senza sanguinamento, comparsi in un periodo compreso nelle due settimane successive alla </w:t>
      </w:r>
      <w:r w:rsidRPr="002A2E5A">
        <w:t xml:space="preserve">vaccinazione. In particolare, nei Paesi Europei e nel Regno Unito sono </w:t>
      </w:r>
      <w:r w:rsidRPr="002A2E5A">
        <w:lastRenderedPageBreak/>
        <w:t>stati riportati 7 casi di coagulazione intravascolare disseminata (CID) e 18 casi di trombosi cerebrale del seno venoso per i quali sono in corso ulteriori approfondimenti. Di questi</w:t>
      </w:r>
      <w:r>
        <w:t xml:space="preserve"> casi, che hanno riguardato principalmente donne con età inferiore ai 55 anni, 9 sono stati fatali.</w:t>
      </w:r>
    </w:p>
    <w:p w14:paraId="7B757677" w14:textId="55D0CF2A" w:rsidR="004B5287" w:rsidRDefault="004B5287" w:rsidP="004B5287">
      <w:pPr>
        <w:pStyle w:val="Paragrafoelenco"/>
        <w:numPr>
          <w:ilvl w:val="0"/>
          <w:numId w:val="1"/>
        </w:numPr>
        <w:spacing w:line="360" w:lineRule="auto"/>
      </w:pPr>
      <w:r>
        <w:rPr>
          <w:rFonts w:cstheme="minorHAnsi"/>
        </w:rPr>
        <w:t>È</w:t>
      </w:r>
      <w:r w:rsidRPr="00CF7C07">
        <w:t xml:space="preserve"> stato concluso che l’efficacia documentata </w:t>
      </w:r>
      <w:r>
        <w:t xml:space="preserve">del vaccino </w:t>
      </w:r>
      <w:r w:rsidRPr="00CF7C07">
        <w:t xml:space="preserve">nel prevenire ospedalizzazioni e decessi da </w:t>
      </w:r>
      <w:r>
        <w:t xml:space="preserve">COVID19 supera l’estremamente piccolo rischio di CID o </w:t>
      </w:r>
      <w:r w:rsidRPr="007C4875">
        <w:t>trombosi cerebrale del seno venoso</w:t>
      </w:r>
      <w:r w:rsidRPr="00CF7C07">
        <w:t>. Tuttavia, nella sezione delle precauzioni della scheda tecnica del vaccino sarà descritta la possibilità di comparsa di questi disturbi della coagulazione con indicazi</w:t>
      </w:r>
      <w:r>
        <w:t>one di richiedere immediatamente assistenza medica nel caso in cui dopo la vaccinazione si manifestino sintomi/segni ad essi attribuibili (come ad esempio affanno, dolore al torace, gonfiore o freddo a un braccio o una gamba, forte mal di testa , visione offuscata, sanguinamento persistente, piccoli lividi multipli, petecchie, etc).</w:t>
      </w:r>
    </w:p>
    <w:p w14:paraId="644E9F0D" w14:textId="77777777" w:rsidR="004B5287" w:rsidRDefault="004B5287" w:rsidP="004B5287">
      <w:pPr>
        <w:spacing w:line="360" w:lineRule="auto"/>
      </w:pPr>
      <w:r>
        <w:t>In relazione a quanto sopra riportato la Società Italiana di Farmacologia raccomanda di:</w:t>
      </w:r>
    </w:p>
    <w:p w14:paraId="37389E40" w14:textId="77777777" w:rsidR="004B5287" w:rsidRPr="002F40EC" w:rsidRDefault="004B5287" w:rsidP="004B5287">
      <w:pPr>
        <w:pStyle w:val="Paragrafoelenco"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2F40EC">
        <w:rPr>
          <w:color w:val="000000" w:themeColor="text1"/>
        </w:rPr>
        <w:t>Aderire alla campagna di vaccinazione, come da indicazioni del Ministero della Salute, indipendentemente dal vaccino proposto ed evitando rinunce alla vaccinazione, tardive o non comunicate, al fine di non rallentare la campagna vaccinale;</w:t>
      </w:r>
    </w:p>
    <w:p w14:paraId="121BBFA4" w14:textId="77777777" w:rsidR="004B5287" w:rsidRDefault="004B5287" w:rsidP="004B5287">
      <w:pPr>
        <w:pStyle w:val="Paragrafoelenco"/>
        <w:numPr>
          <w:ilvl w:val="0"/>
          <w:numId w:val="2"/>
        </w:numPr>
        <w:spacing w:line="360" w:lineRule="auto"/>
      </w:pPr>
      <w:r>
        <w:t>Continuare a segnalare gli eventi avversi sospetti che si osservano, indistintamente per tutti i vaccini per COVID19, così come per gli altri vaccini e tutti i farmaci in generale;</w:t>
      </w:r>
    </w:p>
    <w:p w14:paraId="4D93A781" w14:textId="77777777" w:rsidR="004B5287" w:rsidRPr="002A2E5A" w:rsidRDefault="004B5287" w:rsidP="004B5287">
      <w:pPr>
        <w:pStyle w:val="Paragrafoelenco"/>
        <w:numPr>
          <w:ilvl w:val="0"/>
          <w:numId w:val="2"/>
        </w:numPr>
        <w:spacing w:line="360" w:lineRule="auto"/>
      </w:pPr>
      <w:r w:rsidRPr="002A2E5A">
        <w:t xml:space="preserve">In assenza di segni/sintomi suggestivi di alterazione della coagulazione </w:t>
      </w:r>
      <w:r w:rsidRPr="002A2E5A">
        <w:rPr>
          <w:bCs/>
        </w:rPr>
        <w:t>dopo la vaccinazione,</w:t>
      </w:r>
      <w:r w:rsidRPr="002A2E5A">
        <w:t xml:space="preserve"> evitare di ricorrere a terapie non raccomandate (anticoagulanti o antiaggreganti) e, ricordare sempre che qualunque terapia va effettuata dopo consulto medico;</w:t>
      </w:r>
    </w:p>
    <w:p w14:paraId="348DF128" w14:textId="77777777" w:rsidR="004B5287" w:rsidRPr="00CF7C07" w:rsidRDefault="004B5287" w:rsidP="004B5287">
      <w:pPr>
        <w:pStyle w:val="Paragrafoelenco"/>
        <w:numPr>
          <w:ilvl w:val="0"/>
          <w:numId w:val="2"/>
        </w:numPr>
        <w:spacing w:line="360" w:lineRule="auto"/>
      </w:pPr>
      <w:r>
        <w:t>Partecipare, oltre cha alla segnalazione di sospette reazioni avverse, laddove proposto, agli studi di farmacovigilanza attiva tramite survey o web-app, volti a monitorare efficacia e sicurezza dei vaccini per COVID19, solo ed esclusivamente, se approvati da AIFA e dal Comitato Etico dell’Istituto Spallanzani, come da normativa.</w:t>
      </w:r>
    </w:p>
    <w:p w14:paraId="04B08020" w14:textId="03B8F4F4" w:rsidR="00B82FF9" w:rsidRPr="004B5287" w:rsidRDefault="00B82FF9" w:rsidP="004B5287"/>
    <w:sectPr w:rsidR="00B82FF9" w:rsidRPr="004B528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BEE8D" w14:textId="77777777" w:rsidR="006818CF" w:rsidRDefault="006818CF" w:rsidP="0047638C">
      <w:pPr>
        <w:spacing w:after="0" w:line="240" w:lineRule="auto"/>
      </w:pPr>
      <w:r>
        <w:separator/>
      </w:r>
    </w:p>
  </w:endnote>
  <w:endnote w:type="continuationSeparator" w:id="0">
    <w:p w14:paraId="3A85B9B0" w14:textId="77777777" w:rsidR="006818CF" w:rsidRDefault="006818CF" w:rsidP="0047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E123D" w14:textId="77777777" w:rsidR="00DD6900" w:rsidRDefault="00DD6900" w:rsidP="00CE528A">
    <w:pPr>
      <w:pStyle w:val="Pidipagina"/>
      <w:rPr>
        <w:sz w:val="18"/>
        <w:szCs w:val="18"/>
      </w:rPr>
    </w:pPr>
  </w:p>
  <w:p w14:paraId="6A77A2B7" w14:textId="125F99DB" w:rsidR="00CE528A" w:rsidRPr="00CE528A" w:rsidRDefault="00CE528A" w:rsidP="00CE528A">
    <w:pPr>
      <w:pStyle w:val="Pidipagina"/>
      <w:rPr>
        <w:sz w:val="18"/>
        <w:szCs w:val="18"/>
      </w:rPr>
    </w:pPr>
    <w:r w:rsidRPr="00CE528A">
      <w:rPr>
        <w:sz w:val="18"/>
        <w:szCs w:val="18"/>
      </w:rPr>
      <w:t xml:space="preserve">Dr. Marco Pivato, </w:t>
    </w:r>
    <w:r w:rsidRPr="00CE528A">
      <w:rPr>
        <w:i/>
        <w:iCs/>
        <w:sz w:val="18"/>
        <w:szCs w:val="18"/>
      </w:rPr>
      <w:t>MPharm</w:t>
    </w:r>
  </w:p>
  <w:p w14:paraId="0AAA371A" w14:textId="77777777" w:rsidR="00CE528A" w:rsidRPr="00CE528A" w:rsidRDefault="00CE528A" w:rsidP="00CE528A">
    <w:pPr>
      <w:pStyle w:val="Pidipagina"/>
      <w:rPr>
        <w:sz w:val="18"/>
        <w:szCs w:val="18"/>
      </w:rPr>
    </w:pPr>
    <w:r w:rsidRPr="00CE528A">
      <w:rPr>
        <w:sz w:val="18"/>
        <w:szCs w:val="18"/>
      </w:rPr>
      <w:t>Società Italiana di Farmacologia - Area Comunicazione</w:t>
    </w:r>
  </w:p>
  <w:p w14:paraId="3F109425" w14:textId="77777777" w:rsidR="00CE528A" w:rsidRPr="00CE528A" w:rsidRDefault="00CE528A" w:rsidP="00CE528A">
    <w:pPr>
      <w:pStyle w:val="Pidipagina"/>
      <w:rPr>
        <w:sz w:val="18"/>
        <w:szCs w:val="18"/>
      </w:rPr>
    </w:pPr>
    <w:r w:rsidRPr="00CE528A">
      <w:rPr>
        <w:sz w:val="18"/>
        <w:szCs w:val="18"/>
      </w:rPr>
      <w:t>Via Giovanni Pascoli, 03 - 20129 Milano</w:t>
    </w:r>
  </w:p>
  <w:p w14:paraId="7A103604" w14:textId="77777777" w:rsidR="00CE528A" w:rsidRPr="00CE528A" w:rsidRDefault="00CE528A" w:rsidP="00CE528A">
    <w:pPr>
      <w:pStyle w:val="Pidipagina"/>
      <w:rPr>
        <w:sz w:val="18"/>
        <w:szCs w:val="18"/>
      </w:rPr>
    </w:pPr>
    <w:r w:rsidRPr="00CE528A">
      <w:rPr>
        <w:sz w:val="18"/>
        <w:szCs w:val="18"/>
      </w:rPr>
      <w:t>Mob. 349 5297270</w:t>
    </w:r>
  </w:p>
  <w:p w14:paraId="18C9884F" w14:textId="6B9C5D2E" w:rsidR="00CE528A" w:rsidRPr="00CE528A" w:rsidRDefault="006818CF" w:rsidP="00CE528A">
    <w:pPr>
      <w:pStyle w:val="Pidipagina"/>
      <w:rPr>
        <w:sz w:val="18"/>
        <w:szCs w:val="18"/>
      </w:rPr>
    </w:pPr>
    <w:hyperlink r:id="rId1" w:history="1">
      <w:r w:rsidR="00CE528A" w:rsidRPr="00A97D96">
        <w:rPr>
          <w:rStyle w:val="Collegamentoipertestuale"/>
          <w:sz w:val="18"/>
          <w:szCs w:val="18"/>
        </w:rPr>
        <w:t>ufficiostampa@sif-farmacologia.it</w:t>
      </w:r>
    </w:hyperlink>
    <w:r w:rsidR="00CE528A">
      <w:rPr>
        <w:sz w:val="18"/>
        <w:szCs w:val="18"/>
      </w:rPr>
      <w:t xml:space="preserve"> - </w:t>
    </w:r>
    <w:hyperlink r:id="rId2" w:history="1">
      <w:r w:rsidR="00CE528A" w:rsidRPr="00A97D96">
        <w:rPr>
          <w:rStyle w:val="Collegamentoipertestuale"/>
          <w:sz w:val="18"/>
          <w:szCs w:val="18"/>
        </w:rPr>
        <w:t>www.sifweb.org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F492C" w14:textId="77777777" w:rsidR="006818CF" w:rsidRDefault="006818CF" w:rsidP="0047638C">
      <w:pPr>
        <w:spacing w:after="0" w:line="240" w:lineRule="auto"/>
      </w:pPr>
      <w:r>
        <w:separator/>
      </w:r>
    </w:p>
  </w:footnote>
  <w:footnote w:type="continuationSeparator" w:id="0">
    <w:p w14:paraId="6586DBB7" w14:textId="77777777" w:rsidR="006818CF" w:rsidRDefault="006818CF" w:rsidP="00476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5A67C" w14:textId="00C7CD10" w:rsidR="0047638C" w:rsidRDefault="00CE528A" w:rsidP="00CE528A">
    <w:pPr>
      <w:pStyle w:val="Intestazione"/>
      <w:tabs>
        <w:tab w:val="left" w:pos="6913"/>
      </w:tabs>
    </w:pPr>
    <w:r>
      <w:tab/>
    </w:r>
    <w:r w:rsidR="0047638C">
      <w:rPr>
        <w:noProof/>
        <w:lang w:eastAsia="it-IT"/>
      </w:rPr>
      <w:drawing>
        <wp:inline distT="0" distB="0" distL="0" distR="0" wp14:anchorId="62B72EC4" wp14:editId="61E2D21E">
          <wp:extent cx="1853184" cy="874776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F - picc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184" cy="874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0C1289E6" w14:textId="77777777" w:rsidR="00CE528A" w:rsidRDefault="00CE528A" w:rsidP="00CE528A">
    <w:pPr>
      <w:pStyle w:val="Intestazione"/>
      <w:tabs>
        <w:tab w:val="left" w:pos="691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D2219"/>
    <w:multiLevelType w:val="hybridMultilevel"/>
    <w:tmpl w:val="BC28C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22210"/>
    <w:multiLevelType w:val="hybridMultilevel"/>
    <w:tmpl w:val="916A31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44"/>
    <w:rsid w:val="000327EB"/>
    <w:rsid w:val="00056DA2"/>
    <w:rsid w:val="000957E2"/>
    <w:rsid w:val="000C3FBD"/>
    <w:rsid w:val="001008FF"/>
    <w:rsid w:val="001054A1"/>
    <w:rsid w:val="00111BEC"/>
    <w:rsid w:val="00150993"/>
    <w:rsid w:val="00154D52"/>
    <w:rsid w:val="0022337A"/>
    <w:rsid w:val="002672E3"/>
    <w:rsid w:val="003335BB"/>
    <w:rsid w:val="003474A3"/>
    <w:rsid w:val="003621D4"/>
    <w:rsid w:val="003B640D"/>
    <w:rsid w:val="003C0E0C"/>
    <w:rsid w:val="004314F6"/>
    <w:rsid w:val="00445195"/>
    <w:rsid w:val="0047638C"/>
    <w:rsid w:val="00482F1E"/>
    <w:rsid w:val="004A03BD"/>
    <w:rsid w:val="004B5287"/>
    <w:rsid w:val="004D56EA"/>
    <w:rsid w:val="005B2369"/>
    <w:rsid w:val="005E0BFE"/>
    <w:rsid w:val="006818CF"/>
    <w:rsid w:val="006E4B19"/>
    <w:rsid w:val="00700EDE"/>
    <w:rsid w:val="007411AD"/>
    <w:rsid w:val="00772342"/>
    <w:rsid w:val="00782AB1"/>
    <w:rsid w:val="007A7811"/>
    <w:rsid w:val="007D27D1"/>
    <w:rsid w:val="00825CE9"/>
    <w:rsid w:val="008419DD"/>
    <w:rsid w:val="008C6F5D"/>
    <w:rsid w:val="00942E7B"/>
    <w:rsid w:val="00A93415"/>
    <w:rsid w:val="00AA0C8E"/>
    <w:rsid w:val="00B216E9"/>
    <w:rsid w:val="00B60534"/>
    <w:rsid w:val="00B61F62"/>
    <w:rsid w:val="00B82FF9"/>
    <w:rsid w:val="00B90042"/>
    <w:rsid w:val="00BA651E"/>
    <w:rsid w:val="00BC1F42"/>
    <w:rsid w:val="00BF6135"/>
    <w:rsid w:val="00C36AD8"/>
    <w:rsid w:val="00C77E57"/>
    <w:rsid w:val="00C90B94"/>
    <w:rsid w:val="00C964C5"/>
    <w:rsid w:val="00CA6CA5"/>
    <w:rsid w:val="00CB66F7"/>
    <w:rsid w:val="00CE528A"/>
    <w:rsid w:val="00CE5F2B"/>
    <w:rsid w:val="00CE6676"/>
    <w:rsid w:val="00D02D38"/>
    <w:rsid w:val="00D525C4"/>
    <w:rsid w:val="00D84844"/>
    <w:rsid w:val="00DD6900"/>
    <w:rsid w:val="00E8200A"/>
    <w:rsid w:val="00EA6C8A"/>
    <w:rsid w:val="00EB7355"/>
    <w:rsid w:val="00EC4C69"/>
    <w:rsid w:val="00ED6FC9"/>
    <w:rsid w:val="00EF38D5"/>
    <w:rsid w:val="00FE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F6B26"/>
  <w15:chartTrackingRefBased/>
  <w15:docId w15:val="{F0BC775D-2CFF-41D7-818B-03C98921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52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3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38C"/>
  </w:style>
  <w:style w:type="paragraph" w:styleId="Pidipagina">
    <w:name w:val="footer"/>
    <w:basedOn w:val="Normale"/>
    <w:link w:val="PidipaginaCarattere"/>
    <w:uiPriority w:val="99"/>
    <w:unhideWhenUsed/>
    <w:rsid w:val="004763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38C"/>
  </w:style>
  <w:style w:type="character" w:styleId="Collegamentoipertestuale">
    <w:name w:val="Hyperlink"/>
    <w:basedOn w:val="Carpredefinitoparagrafo"/>
    <w:uiPriority w:val="99"/>
    <w:unhideWhenUsed/>
    <w:rsid w:val="00CE528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E528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77E57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781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B5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fweb.org" TargetMode="External"/><Relationship Id="rId1" Type="http://schemas.openxmlformats.org/officeDocument/2006/relationships/hyperlink" Target="mailto:ufficiostampa@sif-farmacolog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Pivato</dc:creator>
  <cp:keywords/>
  <dc:description/>
  <cp:lastModifiedBy>Marco Pivato</cp:lastModifiedBy>
  <cp:revision>4</cp:revision>
  <dcterms:created xsi:type="dcterms:W3CDTF">2021-03-19T12:41:00Z</dcterms:created>
  <dcterms:modified xsi:type="dcterms:W3CDTF">2021-04-28T09:40:00Z</dcterms:modified>
</cp:coreProperties>
</file>