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9015" w14:textId="0BBF4A5B" w:rsidR="006F0A03" w:rsidRPr="00620FB9" w:rsidRDefault="000F2915" w:rsidP="00620FB9">
      <w:pPr>
        <w:jc w:val="center"/>
        <w:rPr>
          <w:b/>
          <w:bCs/>
        </w:rPr>
      </w:pPr>
      <w:r w:rsidRPr="00620FB9">
        <w:rPr>
          <w:b/>
          <w:bCs/>
        </w:rPr>
        <w:t xml:space="preserve">COVID-19, una </w:t>
      </w:r>
      <w:r w:rsidR="00F676B5">
        <w:rPr>
          <w:b/>
          <w:bCs/>
        </w:rPr>
        <w:t>nuova App</w:t>
      </w:r>
      <w:r w:rsidRPr="00620FB9">
        <w:rPr>
          <w:b/>
          <w:bCs/>
        </w:rPr>
        <w:t xml:space="preserve"> monitorerà </w:t>
      </w:r>
      <w:r w:rsidR="006F0A03" w:rsidRPr="00620FB9">
        <w:rPr>
          <w:b/>
          <w:bCs/>
        </w:rPr>
        <w:t xml:space="preserve">la </w:t>
      </w:r>
      <w:r w:rsidRPr="00620FB9">
        <w:rPr>
          <w:b/>
          <w:bCs/>
        </w:rPr>
        <w:t>sicurezza</w:t>
      </w:r>
      <w:r w:rsidR="006F0A03" w:rsidRPr="00620FB9">
        <w:rPr>
          <w:b/>
          <w:bCs/>
        </w:rPr>
        <w:t xml:space="preserve"> dei vaccini </w:t>
      </w:r>
      <w:r w:rsidR="00761773">
        <w:rPr>
          <w:b/>
          <w:bCs/>
        </w:rPr>
        <w:t xml:space="preserve">anti-SARS-COV-2 </w:t>
      </w:r>
      <w:r w:rsidR="00632CCA">
        <w:rPr>
          <w:b/>
          <w:bCs/>
        </w:rPr>
        <w:t xml:space="preserve">in </w:t>
      </w:r>
      <w:r w:rsidR="00632CCA" w:rsidRPr="00632CCA">
        <w:rPr>
          <w:b/>
          <w:bCs/>
        </w:rPr>
        <w:t>donne in gravidanza, bambini</w:t>
      </w:r>
      <w:r w:rsidR="00761773">
        <w:rPr>
          <w:b/>
          <w:bCs/>
        </w:rPr>
        <w:t xml:space="preserve"> e</w:t>
      </w:r>
      <w:r w:rsidR="00632CCA" w:rsidRPr="00632CCA">
        <w:rPr>
          <w:b/>
          <w:bCs/>
        </w:rPr>
        <w:t xml:space="preserve"> adolescenti, </w:t>
      </w:r>
      <w:r w:rsidR="00761773">
        <w:rPr>
          <w:b/>
          <w:bCs/>
        </w:rPr>
        <w:t xml:space="preserve">pazienti </w:t>
      </w:r>
      <w:r w:rsidR="00632CCA" w:rsidRPr="00632CCA">
        <w:rPr>
          <w:b/>
          <w:bCs/>
        </w:rPr>
        <w:t>immunocompromessi</w:t>
      </w:r>
      <w:r w:rsidR="006C2230">
        <w:rPr>
          <w:b/>
          <w:bCs/>
        </w:rPr>
        <w:t xml:space="preserve">, </w:t>
      </w:r>
      <w:r w:rsidR="00761773">
        <w:rPr>
          <w:b/>
          <w:bCs/>
        </w:rPr>
        <w:t xml:space="preserve">con storia di </w:t>
      </w:r>
      <w:r w:rsidR="006C2230">
        <w:rPr>
          <w:b/>
          <w:bCs/>
        </w:rPr>
        <w:t xml:space="preserve">allergie </w:t>
      </w:r>
      <w:r w:rsidR="00761773">
        <w:rPr>
          <w:b/>
          <w:bCs/>
        </w:rPr>
        <w:t>o</w:t>
      </w:r>
      <w:r w:rsidR="006C2230">
        <w:rPr>
          <w:b/>
          <w:bCs/>
        </w:rPr>
        <w:t xml:space="preserve"> già</w:t>
      </w:r>
      <w:r w:rsidR="00632CCA" w:rsidRPr="00632CCA">
        <w:rPr>
          <w:b/>
          <w:bCs/>
        </w:rPr>
        <w:t xml:space="preserve"> </w:t>
      </w:r>
      <w:r w:rsidR="003F04F2">
        <w:rPr>
          <w:b/>
          <w:bCs/>
        </w:rPr>
        <w:t>colpiti</w:t>
      </w:r>
      <w:r w:rsidR="006C2230">
        <w:rPr>
          <w:b/>
          <w:bCs/>
        </w:rPr>
        <w:t xml:space="preserve"> dal virus</w:t>
      </w:r>
      <w:r w:rsidR="00632CCA">
        <w:rPr>
          <w:b/>
          <w:bCs/>
        </w:rPr>
        <w:t>.</w:t>
      </w:r>
    </w:p>
    <w:p w14:paraId="41C0F9F7" w14:textId="77777777" w:rsidR="006F0A03" w:rsidRDefault="006F0A03" w:rsidP="00E82A2B"/>
    <w:p w14:paraId="227202E8" w14:textId="5ED5AE5E" w:rsidR="00F676B5" w:rsidRDefault="006F0A03" w:rsidP="00620FB9">
      <w:pPr>
        <w:jc w:val="center"/>
        <w:rPr>
          <w:i/>
          <w:iCs/>
        </w:rPr>
      </w:pPr>
      <w:r w:rsidRPr="00632CCA">
        <w:rPr>
          <w:i/>
          <w:iCs/>
        </w:rPr>
        <w:t xml:space="preserve">L’Agenzia Europa del Farmaco (EMA) </w:t>
      </w:r>
      <w:r w:rsidR="00761773">
        <w:rPr>
          <w:i/>
          <w:iCs/>
        </w:rPr>
        <w:t>ha finanziato</w:t>
      </w:r>
      <w:r w:rsidR="00761773" w:rsidRPr="00632CCA">
        <w:rPr>
          <w:i/>
          <w:iCs/>
        </w:rPr>
        <w:t xml:space="preserve"> </w:t>
      </w:r>
      <w:r w:rsidRPr="00632CCA">
        <w:rPr>
          <w:i/>
          <w:iCs/>
        </w:rPr>
        <w:t xml:space="preserve">il progetto Covid-Vaccine-Monitor per acquisire dati sulla sicurezza </w:t>
      </w:r>
      <w:r w:rsidR="00761773">
        <w:rPr>
          <w:i/>
          <w:iCs/>
        </w:rPr>
        <w:t xml:space="preserve">a breve e lungo termine </w:t>
      </w:r>
      <w:r w:rsidRPr="00632CCA">
        <w:rPr>
          <w:i/>
          <w:iCs/>
        </w:rPr>
        <w:t>dei vaccini anti</w:t>
      </w:r>
      <w:r w:rsidR="00761773">
        <w:rPr>
          <w:i/>
          <w:iCs/>
        </w:rPr>
        <w:t>-</w:t>
      </w:r>
      <w:r w:rsidRPr="00632CCA">
        <w:rPr>
          <w:i/>
          <w:iCs/>
        </w:rPr>
        <w:t>COVID</w:t>
      </w:r>
      <w:r w:rsidR="00452526" w:rsidRPr="00632CCA">
        <w:rPr>
          <w:i/>
          <w:iCs/>
        </w:rPr>
        <w:t xml:space="preserve">-19 in categorie specialmente delicate: </w:t>
      </w:r>
      <w:bookmarkStart w:id="0" w:name="_Hlk72319437"/>
      <w:r w:rsidR="00452526" w:rsidRPr="00632CCA">
        <w:rPr>
          <w:i/>
          <w:iCs/>
        </w:rPr>
        <w:t>donne in gravidanza, bambini</w:t>
      </w:r>
      <w:r w:rsidR="00761773">
        <w:rPr>
          <w:i/>
          <w:iCs/>
        </w:rPr>
        <w:t xml:space="preserve"> e </w:t>
      </w:r>
      <w:r w:rsidR="00452526" w:rsidRPr="00632CCA">
        <w:rPr>
          <w:i/>
          <w:iCs/>
        </w:rPr>
        <w:t>adolescenti, immunocompromessi e persone con storia di allergia o pregressa infezione da SARS-COV-2</w:t>
      </w:r>
      <w:bookmarkEnd w:id="0"/>
      <w:r w:rsidR="00452526" w:rsidRPr="00632CCA">
        <w:rPr>
          <w:i/>
          <w:iCs/>
        </w:rPr>
        <w:t>. C</w:t>
      </w:r>
      <w:r w:rsidRPr="00632CCA">
        <w:rPr>
          <w:i/>
          <w:iCs/>
        </w:rPr>
        <w:t xml:space="preserve">apofila </w:t>
      </w:r>
      <w:r w:rsidR="00452526" w:rsidRPr="00632CCA">
        <w:rPr>
          <w:i/>
          <w:iCs/>
        </w:rPr>
        <w:t xml:space="preserve">del progetto </w:t>
      </w:r>
      <w:r w:rsidRPr="00632CCA">
        <w:rPr>
          <w:i/>
          <w:iCs/>
        </w:rPr>
        <w:t>l’</w:t>
      </w:r>
      <w:r w:rsidR="00E03248">
        <w:rPr>
          <w:i/>
          <w:iCs/>
        </w:rPr>
        <w:t xml:space="preserve">olandese </w:t>
      </w:r>
      <w:r w:rsidRPr="00632CCA">
        <w:rPr>
          <w:i/>
          <w:iCs/>
        </w:rPr>
        <w:t xml:space="preserve">Utrecht University </w:t>
      </w:r>
      <w:proofErr w:type="spellStart"/>
      <w:r w:rsidRPr="00632CCA">
        <w:rPr>
          <w:i/>
          <w:iCs/>
        </w:rPr>
        <w:t>Medical</w:t>
      </w:r>
      <w:proofErr w:type="spellEnd"/>
      <w:r w:rsidRPr="00632CCA">
        <w:rPr>
          <w:i/>
          <w:iCs/>
        </w:rPr>
        <w:t xml:space="preserve"> Center, </w:t>
      </w:r>
      <w:r w:rsidR="00452526" w:rsidRPr="00632CCA">
        <w:rPr>
          <w:i/>
          <w:iCs/>
        </w:rPr>
        <w:t xml:space="preserve">con il nostro Paese a rivestire </w:t>
      </w:r>
      <w:r w:rsidRPr="00632CCA">
        <w:rPr>
          <w:i/>
          <w:iCs/>
        </w:rPr>
        <w:t>un ruolo di primo piano.</w:t>
      </w:r>
      <w:r w:rsidR="00452526" w:rsidRPr="00632CCA">
        <w:rPr>
          <w:i/>
          <w:iCs/>
        </w:rPr>
        <w:t xml:space="preserve"> </w:t>
      </w:r>
      <w:r w:rsidR="006C2230">
        <w:rPr>
          <w:i/>
          <w:iCs/>
        </w:rPr>
        <w:t xml:space="preserve">È </w:t>
      </w:r>
      <w:r w:rsidR="00E03248">
        <w:rPr>
          <w:i/>
          <w:iCs/>
        </w:rPr>
        <w:t xml:space="preserve">stato costituito </w:t>
      </w:r>
      <w:r w:rsidR="006C2230">
        <w:rPr>
          <w:i/>
          <w:iCs/>
        </w:rPr>
        <w:t xml:space="preserve">infatti </w:t>
      </w:r>
      <w:r w:rsidR="00E03248">
        <w:rPr>
          <w:i/>
          <w:iCs/>
        </w:rPr>
        <w:t>un</w:t>
      </w:r>
      <w:r w:rsidR="00452526" w:rsidRPr="00632CCA">
        <w:rPr>
          <w:i/>
          <w:iCs/>
        </w:rPr>
        <w:t xml:space="preserve"> </w:t>
      </w:r>
      <w:r w:rsidR="00E03248">
        <w:rPr>
          <w:i/>
          <w:iCs/>
        </w:rPr>
        <w:t xml:space="preserve">apposito </w:t>
      </w:r>
      <w:r w:rsidR="00452526" w:rsidRPr="00632CCA">
        <w:rPr>
          <w:i/>
          <w:iCs/>
        </w:rPr>
        <w:t>network italiano</w:t>
      </w:r>
      <w:r w:rsidR="006C2230">
        <w:rPr>
          <w:i/>
          <w:iCs/>
        </w:rPr>
        <w:t>,</w:t>
      </w:r>
      <w:r w:rsidR="00452526" w:rsidRPr="00632CCA">
        <w:rPr>
          <w:i/>
          <w:iCs/>
        </w:rPr>
        <w:t xml:space="preserve"> coordinato dall’Università di Verona, con il coinvolgimento di diversi centri vaccinali, centri accademici e centri regionali di Farmacovigilanza, </w:t>
      </w:r>
      <w:r w:rsidR="00E03248">
        <w:rPr>
          <w:i/>
          <w:iCs/>
        </w:rPr>
        <w:t>assieme al</w:t>
      </w:r>
      <w:r w:rsidR="00452526" w:rsidRPr="00632CCA">
        <w:rPr>
          <w:i/>
          <w:iCs/>
        </w:rPr>
        <w:t xml:space="preserve">la Società Italiana di Farmacologia (SIF), </w:t>
      </w:r>
      <w:r w:rsidR="006C2230">
        <w:rPr>
          <w:i/>
          <w:iCs/>
        </w:rPr>
        <w:t xml:space="preserve">la </w:t>
      </w:r>
      <w:r w:rsidR="00452526" w:rsidRPr="00632CCA">
        <w:rPr>
          <w:i/>
          <w:iCs/>
        </w:rPr>
        <w:t xml:space="preserve">Società Italiana </w:t>
      </w:r>
      <w:r w:rsidR="006C2230">
        <w:rPr>
          <w:i/>
          <w:iCs/>
        </w:rPr>
        <w:t xml:space="preserve">di </w:t>
      </w:r>
      <w:r w:rsidR="00452526" w:rsidRPr="00632CCA">
        <w:rPr>
          <w:i/>
          <w:iCs/>
        </w:rPr>
        <w:t xml:space="preserve">Medicina Generale (SIMG) e </w:t>
      </w:r>
      <w:r w:rsidR="006C2230">
        <w:rPr>
          <w:i/>
          <w:iCs/>
        </w:rPr>
        <w:t>l’</w:t>
      </w:r>
      <w:r w:rsidR="00452526" w:rsidRPr="00632CCA">
        <w:rPr>
          <w:i/>
          <w:iCs/>
        </w:rPr>
        <w:t>Associazione Nazionale dei Malati Reumatici</w:t>
      </w:r>
      <w:r w:rsidR="00E03248">
        <w:rPr>
          <w:i/>
          <w:iCs/>
        </w:rPr>
        <w:t xml:space="preserve"> (ANMAR)</w:t>
      </w:r>
      <w:r w:rsidR="003B1B55" w:rsidRPr="00632CCA">
        <w:rPr>
          <w:i/>
          <w:iCs/>
        </w:rPr>
        <w:t>.</w:t>
      </w:r>
      <w:r w:rsidR="006C2230">
        <w:rPr>
          <w:i/>
          <w:iCs/>
        </w:rPr>
        <w:t xml:space="preserve"> </w:t>
      </w:r>
    </w:p>
    <w:p w14:paraId="3D1DE4FE" w14:textId="77777777" w:rsidR="00F676B5" w:rsidRDefault="00F676B5" w:rsidP="00620FB9">
      <w:pPr>
        <w:jc w:val="center"/>
        <w:rPr>
          <w:i/>
          <w:iCs/>
        </w:rPr>
      </w:pPr>
    </w:p>
    <w:p w14:paraId="2B844B1C" w14:textId="3E904764" w:rsidR="003B1B55" w:rsidRPr="006C2230" w:rsidRDefault="006C2230" w:rsidP="00620FB9">
      <w:pPr>
        <w:jc w:val="center"/>
        <w:rPr>
          <w:i/>
          <w:iCs/>
        </w:rPr>
      </w:pPr>
      <w:r w:rsidRPr="006C2230">
        <w:rPr>
          <w:i/>
          <w:iCs/>
        </w:rPr>
        <w:t>I</w:t>
      </w:r>
      <w:r>
        <w:rPr>
          <w:i/>
          <w:iCs/>
        </w:rPr>
        <w:t xml:space="preserve"> particolari del progetto </w:t>
      </w:r>
      <w:r w:rsidR="00F676B5">
        <w:rPr>
          <w:i/>
          <w:iCs/>
        </w:rPr>
        <w:t xml:space="preserve">verranno divulgati </w:t>
      </w:r>
      <w:r w:rsidRPr="006C2230">
        <w:rPr>
          <w:i/>
          <w:iCs/>
        </w:rPr>
        <w:t>vener</w:t>
      </w:r>
      <w:r>
        <w:rPr>
          <w:i/>
          <w:iCs/>
        </w:rPr>
        <w:t>dì</w:t>
      </w:r>
      <w:r w:rsidRPr="006C2230">
        <w:rPr>
          <w:i/>
          <w:iCs/>
        </w:rPr>
        <w:t xml:space="preserve"> 28</w:t>
      </w:r>
      <w:r w:rsidR="00761773">
        <w:rPr>
          <w:i/>
          <w:iCs/>
        </w:rPr>
        <w:t xml:space="preserve"> </w:t>
      </w:r>
      <w:r w:rsidR="00F676B5">
        <w:rPr>
          <w:i/>
          <w:iCs/>
        </w:rPr>
        <w:t>m</w:t>
      </w:r>
      <w:r w:rsidR="00761773">
        <w:rPr>
          <w:i/>
          <w:iCs/>
        </w:rPr>
        <w:t>aggio</w:t>
      </w:r>
      <w:r w:rsidRPr="006C2230">
        <w:rPr>
          <w:i/>
          <w:iCs/>
        </w:rPr>
        <w:t xml:space="preserve">, durante il webinar «Post-marketing </w:t>
      </w:r>
      <w:proofErr w:type="spellStart"/>
      <w:r w:rsidRPr="006C2230">
        <w:rPr>
          <w:i/>
          <w:iCs/>
        </w:rPr>
        <w:t>surveillance</w:t>
      </w:r>
      <w:proofErr w:type="spellEnd"/>
      <w:r w:rsidRPr="006C2230">
        <w:rPr>
          <w:i/>
          <w:iCs/>
        </w:rPr>
        <w:t xml:space="preserve"> of </w:t>
      </w:r>
      <w:proofErr w:type="spellStart"/>
      <w:r w:rsidRPr="006C2230">
        <w:rPr>
          <w:i/>
          <w:iCs/>
        </w:rPr>
        <w:t>vaccines</w:t>
      </w:r>
      <w:proofErr w:type="spellEnd"/>
      <w:r w:rsidRPr="006C2230">
        <w:rPr>
          <w:i/>
          <w:iCs/>
        </w:rPr>
        <w:t xml:space="preserve"> </w:t>
      </w:r>
      <w:proofErr w:type="spellStart"/>
      <w:r w:rsidRPr="006C2230">
        <w:rPr>
          <w:i/>
          <w:iCs/>
        </w:rPr>
        <w:t>against</w:t>
      </w:r>
      <w:proofErr w:type="spellEnd"/>
      <w:r w:rsidRPr="006C2230">
        <w:rPr>
          <w:i/>
          <w:iCs/>
        </w:rPr>
        <w:t xml:space="preserve"> COVID-19: </w:t>
      </w:r>
      <w:proofErr w:type="spellStart"/>
      <w:r w:rsidRPr="006C2230">
        <w:rPr>
          <w:i/>
          <w:iCs/>
        </w:rPr>
        <w:t>where</w:t>
      </w:r>
      <w:proofErr w:type="spellEnd"/>
      <w:r w:rsidRPr="006C2230">
        <w:rPr>
          <w:i/>
          <w:iCs/>
        </w:rPr>
        <w:t xml:space="preserve"> do </w:t>
      </w:r>
      <w:proofErr w:type="spellStart"/>
      <w:r w:rsidRPr="006C2230">
        <w:rPr>
          <w:i/>
          <w:iCs/>
        </w:rPr>
        <w:t>we</w:t>
      </w:r>
      <w:proofErr w:type="spellEnd"/>
      <w:r w:rsidRPr="006C2230">
        <w:rPr>
          <w:i/>
          <w:iCs/>
        </w:rPr>
        <w:t xml:space="preserve"> stand?», promosso da SIF, con il supporto</w:t>
      </w:r>
      <w:r>
        <w:rPr>
          <w:i/>
          <w:iCs/>
        </w:rPr>
        <w:t xml:space="preserve"> dell’</w:t>
      </w:r>
      <w:r w:rsidRPr="006C2230">
        <w:rPr>
          <w:i/>
          <w:iCs/>
        </w:rPr>
        <w:t xml:space="preserve">International Society of </w:t>
      </w:r>
      <w:proofErr w:type="spellStart"/>
      <w:r w:rsidRPr="006C2230">
        <w:rPr>
          <w:i/>
          <w:iCs/>
        </w:rPr>
        <w:t>Pharmacovigilance</w:t>
      </w:r>
      <w:proofErr w:type="spellEnd"/>
      <w:r w:rsidRPr="006C2230">
        <w:rPr>
          <w:i/>
          <w:iCs/>
        </w:rPr>
        <w:t xml:space="preserve"> (</w:t>
      </w:r>
      <w:proofErr w:type="spellStart"/>
      <w:r w:rsidRPr="006C2230">
        <w:rPr>
          <w:i/>
          <w:iCs/>
        </w:rPr>
        <w:t>ISoP</w:t>
      </w:r>
      <w:proofErr w:type="spellEnd"/>
      <w:r w:rsidRPr="006C2230">
        <w:rPr>
          <w:i/>
          <w:iCs/>
        </w:rPr>
        <w:t>)</w:t>
      </w:r>
      <w:r>
        <w:rPr>
          <w:i/>
          <w:iCs/>
        </w:rPr>
        <w:t xml:space="preserve"> e dell’Agenzia Italiana del Farmaco (AIFA).</w:t>
      </w:r>
    </w:p>
    <w:p w14:paraId="3E791AFC" w14:textId="77777777" w:rsidR="003B1B55" w:rsidRPr="006C2230" w:rsidRDefault="003B1B55" w:rsidP="003B1B55"/>
    <w:p w14:paraId="6F46A0F2" w14:textId="4C2ABF62" w:rsidR="003B1B55" w:rsidRDefault="003B1B55" w:rsidP="003B1B55">
      <w:r>
        <w:t xml:space="preserve">Milano </w:t>
      </w:r>
      <w:r w:rsidR="00F676B5">
        <w:t xml:space="preserve">24 maggio </w:t>
      </w:r>
      <w:r>
        <w:t>2021.</w:t>
      </w:r>
    </w:p>
    <w:p w14:paraId="2CB9FAA2" w14:textId="77777777" w:rsidR="003B1B55" w:rsidRDefault="003B1B55" w:rsidP="003B1B55"/>
    <w:p w14:paraId="31502D35" w14:textId="678BE248" w:rsidR="00E03248" w:rsidRDefault="003B1B55" w:rsidP="003B1B55">
      <w:r w:rsidRPr="003B1B55">
        <w:t>Sta per partire in Italia un importante progetto di monitoraggio sulla sicurezza dei vaccini anti</w:t>
      </w:r>
      <w:r w:rsidR="00761773">
        <w:t>-</w:t>
      </w:r>
      <w:r w:rsidRPr="003B1B55">
        <w:t>COVID-19</w:t>
      </w:r>
      <w:r w:rsidR="00761773">
        <w:t>,</w:t>
      </w:r>
      <w:r w:rsidRPr="003B1B55">
        <w:t xml:space="preserve"> finanziato dall’</w:t>
      </w:r>
      <w:r>
        <w:t>Ag</w:t>
      </w:r>
      <w:r w:rsidR="00620FB9">
        <w:t>e</w:t>
      </w:r>
      <w:r>
        <w:t xml:space="preserve">nzia Europea dei Medicinali </w:t>
      </w:r>
      <w:r w:rsidRPr="003B1B55">
        <w:t xml:space="preserve">(EMA). </w:t>
      </w:r>
      <w:r>
        <w:t>Il progetto, che avrà la durata di due anni permetterà, tramite una web</w:t>
      </w:r>
      <w:r w:rsidR="00E03248">
        <w:t xml:space="preserve"> </w:t>
      </w:r>
      <w:r>
        <w:t xml:space="preserve">app utilizzata in 11 Paesi europei, di monitorare le </w:t>
      </w:r>
      <w:r w:rsidRPr="00620FB9">
        <w:rPr>
          <w:b/>
          <w:bCs/>
        </w:rPr>
        <w:t xml:space="preserve">reazioni </w:t>
      </w:r>
      <w:r w:rsidR="00620FB9" w:rsidRPr="00620FB9">
        <w:rPr>
          <w:b/>
          <w:bCs/>
        </w:rPr>
        <w:t>avverse</w:t>
      </w:r>
      <w:r w:rsidR="00620FB9">
        <w:t xml:space="preserve"> </w:t>
      </w:r>
      <w:r w:rsidR="00E03248">
        <w:t xml:space="preserve">(quindi la sicurezza) </w:t>
      </w:r>
      <w:r>
        <w:t xml:space="preserve">a breve e lungo termine, nonché </w:t>
      </w:r>
      <w:r w:rsidRPr="00620FB9">
        <w:t>l’</w:t>
      </w:r>
      <w:r w:rsidRPr="00620FB9">
        <w:rPr>
          <w:b/>
          <w:bCs/>
        </w:rPr>
        <w:t>efficacia dei vaccini anti COVID-19</w:t>
      </w:r>
      <w:r>
        <w:t xml:space="preserve"> in categorie speciali di pazienti </w:t>
      </w:r>
      <w:r w:rsidR="00E03248">
        <w:t>come</w:t>
      </w:r>
      <w:r>
        <w:t xml:space="preserve"> le </w:t>
      </w:r>
      <w:r w:rsidRPr="00620FB9">
        <w:rPr>
          <w:b/>
          <w:bCs/>
        </w:rPr>
        <w:t>donne in gravidanza</w:t>
      </w:r>
      <w:r>
        <w:t xml:space="preserve">, i </w:t>
      </w:r>
      <w:r w:rsidRPr="00620FB9">
        <w:rPr>
          <w:b/>
          <w:bCs/>
        </w:rPr>
        <w:t>bambini</w:t>
      </w:r>
      <w:r w:rsidR="00761773">
        <w:rPr>
          <w:b/>
          <w:bCs/>
        </w:rPr>
        <w:t xml:space="preserve"> e</w:t>
      </w:r>
      <w:r>
        <w:t xml:space="preserve"> gli </w:t>
      </w:r>
      <w:r w:rsidRPr="00620FB9">
        <w:rPr>
          <w:b/>
          <w:bCs/>
        </w:rPr>
        <w:t>adolescenti</w:t>
      </w:r>
      <w:r>
        <w:t xml:space="preserve">, </w:t>
      </w:r>
      <w:r w:rsidR="00E03248">
        <w:t xml:space="preserve">i pazienti </w:t>
      </w:r>
      <w:r w:rsidR="00D679F7" w:rsidRPr="00620FB9">
        <w:rPr>
          <w:b/>
          <w:bCs/>
        </w:rPr>
        <w:t>immunocompromessi</w:t>
      </w:r>
      <w:r w:rsidR="00D679F7">
        <w:t xml:space="preserve"> e </w:t>
      </w:r>
      <w:r w:rsidR="00761773">
        <w:t xml:space="preserve">le </w:t>
      </w:r>
      <w:r>
        <w:t xml:space="preserve">persone con storia di </w:t>
      </w:r>
      <w:r w:rsidRPr="00620FB9">
        <w:rPr>
          <w:b/>
          <w:bCs/>
        </w:rPr>
        <w:t>allergia</w:t>
      </w:r>
      <w:r>
        <w:t xml:space="preserve"> o </w:t>
      </w:r>
      <w:r w:rsidRPr="00620FB9">
        <w:rPr>
          <w:b/>
          <w:bCs/>
        </w:rPr>
        <w:t>pregressa infezione</w:t>
      </w:r>
      <w:r>
        <w:t xml:space="preserve"> da SARS-COV-2</w:t>
      </w:r>
      <w:r w:rsidR="00D679F7">
        <w:t xml:space="preserve">. </w:t>
      </w:r>
    </w:p>
    <w:p w14:paraId="034E6582" w14:textId="77777777" w:rsidR="00E03248" w:rsidRDefault="00E03248" w:rsidP="003B1B55"/>
    <w:p w14:paraId="62E49BC2" w14:textId="53458460" w:rsidR="009871CB" w:rsidRDefault="003B1B55" w:rsidP="003B1B55">
      <w:r>
        <w:t xml:space="preserve">Queste sono infatti </w:t>
      </w:r>
      <w:r w:rsidR="00620FB9">
        <w:t xml:space="preserve">le </w:t>
      </w:r>
      <w:r>
        <w:t xml:space="preserve">categorie di </w:t>
      </w:r>
      <w:r w:rsidRPr="00C139BE">
        <w:rPr>
          <w:b/>
          <w:bCs/>
        </w:rPr>
        <w:t>persone fragili</w:t>
      </w:r>
      <w:r>
        <w:t xml:space="preserve"> che</w:t>
      </w:r>
      <w:r w:rsidR="00E03248">
        <w:t xml:space="preserve"> sono state</w:t>
      </w:r>
      <w:r>
        <w:t xml:space="preserve"> </w:t>
      </w:r>
      <w:r w:rsidR="00E03248" w:rsidRPr="00E03248">
        <w:rPr>
          <w:b/>
          <w:bCs/>
        </w:rPr>
        <w:t>escluse da</w:t>
      </w:r>
      <w:r w:rsidRPr="00E03248">
        <w:rPr>
          <w:b/>
          <w:bCs/>
        </w:rPr>
        <w:t xml:space="preserve"> gran parte degli studi </w:t>
      </w:r>
      <w:proofErr w:type="spellStart"/>
      <w:r w:rsidRPr="00E03248">
        <w:rPr>
          <w:b/>
          <w:bCs/>
        </w:rPr>
        <w:t>pre</w:t>
      </w:r>
      <w:proofErr w:type="spellEnd"/>
      <w:r w:rsidRPr="00E03248">
        <w:rPr>
          <w:b/>
          <w:bCs/>
        </w:rPr>
        <w:t>-marketing sui vaccini anti COVID-19</w:t>
      </w:r>
      <w:r w:rsidR="00E03248">
        <w:t>. P</w:t>
      </w:r>
      <w:r>
        <w:t>er questo motivo</w:t>
      </w:r>
      <w:r w:rsidR="00E03248">
        <w:t>,</w:t>
      </w:r>
      <w:r>
        <w:t xml:space="preserve"> </w:t>
      </w:r>
      <w:proofErr w:type="gramStart"/>
      <w:r>
        <w:t>il monitoraggio</w:t>
      </w:r>
      <w:r w:rsidR="00C139BE">
        <w:t xml:space="preserve"> nella fase attuale</w:t>
      </w:r>
      <w:r w:rsidR="00B154E8">
        <w:t xml:space="preserve"> di avvenuta commercializzazione,</w:t>
      </w:r>
      <w:proofErr w:type="gramEnd"/>
      <w:r w:rsidR="00B154E8">
        <w:t xml:space="preserve"> </w:t>
      </w:r>
      <w:r>
        <w:t>è assolutamente fondamentale.</w:t>
      </w:r>
      <w:r w:rsidR="00AE2EA7">
        <w:t xml:space="preserve"> Una volta commercializzati, farmaci e vaccini, passano infatti alla cosiddetta </w:t>
      </w:r>
      <w:r w:rsidR="00AE2EA7" w:rsidRPr="00AE2EA7">
        <w:rPr>
          <w:rFonts w:cstheme="minorHAnsi"/>
          <w:b/>
          <w:bCs/>
        </w:rPr>
        <w:t>«</w:t>
      </w:r>
      <w:r w:rsidR="00AE2EA7" w:rsidRPr="00AE2EA7">
        <w:rPr>
          <w:b/>
          <w:bCs/>
        </w:rPr>
        <w:t>fase 4</w:t>
      </w:r>
      <w:r w:rsidR="00AE2EA7" w:rsidRPr="00AE2EA7">
        <w:rPr>
          <w:rFonts w:cstheme="minorHAnsi"/>
          <w:b/>
          <w:bCs/>
        </w:rPr>
        <w:t>»</w:t>
      </w:r>
      <w:r w:rsidR="00AE2EA7">
        <w:t xml:space="preserve">, la </w:t>
      </w:r>
      <w:r w:rsidR="00AE2EA7" w:rsidRPr="00AE2EA7">
        <w:rPr>
          <w:b/>
          <w:bCs/>
        </w:rPr>
        <w:t>fase di farmacovigilanza</w:t>
      </w:r>
      <w:r w:rsidR="00AE2EA7">
        <w:t xml:space="preserve">, durante la quale </w:t>
      </w:r>
      <w:r w:rsidR="005732AA">
        <w:t>il prodotto</w:t>
      </w:r>
      <w:r w:rsidR="00E03248">
        <w:t>, già in uso,</w:t>
      </w:r>
      <w:r w:rsidR="005732AA">
        <w:t xml:space="preserve"> </w:t>
      </w:r>
      <w:r w:rsidR="00AE2EA7" w:rsidRPr="00AE2EA7">
        <w:t xml:space="preserve">viene tenuto sotto controllo per rilevare effetti collaterali eventualmente sfuggiti ai test </w:t>
      </w:r>
      <w:r w:rsidR="00E03248">
        <w:t xml:space="preserve">preclinici e </w:t>
      </w:r>
      <w:r w:rsidR="00AE2EA7" w:rsidRPr="00AE2EA7">
        <w:t>clinici precedenti</w:t>
      </w:r>
      <w:r w:rsidR="005732AA">
        <w:t>.</w:t>
      </w:r>
    </w:p>
    <w:p w14:paraId="17C3CE15" w14:textId="1958B07F" w:rsidR="00B154E8" w:rsidRDefault="00B154E8" w:rsidP="003B1B55"/>
    <w:p w14:paraId="7A77BCEB" w14:textId="2D7171C6" w:rsidR="005732AA" w:rsidRDefault="005732AA" w:rsidP="003B1B55">
      <w:r>
        <w:t xml:space="preserve">La fase di farmacovigilanza è particolarmente preziosa, perché farmaci e vaccini, una volta in commercio, vengono assunti da molti milioni di soggetti, </w:t>
      </w:r>
      <w:r w:rsidR="00E03248">
        <w:t xml:space="preserve">quindi </w:t>
      </w:r>
      <w:r>
        <w:t>tanti in più rispetto ai test delle tradizionali fasi cliniche</w:t>
      </w:r>
      <w:r w:rsidR="00761773" w:rsidRPr="00761773">
        <w:t xml:space="preserve"> </w:t>
      </w:r>
      <w:r w:rsidR="00761773">
        <w:t xml:space="preserve">(inclusi coloro che generalmente non sono arruolati negli studi </w:t>
      </w:r>
      <w:proofErr w:type="spellStart"/>
      <w:r w:rsidR="00761773">
        <w:t>premarketing</w:t>
      </w:r>
      <w:proofErr w:type="spellEnd"/>
      <w:r w:rsidR="00761773">
        <w:t>)</w:t>
      </w:r>
      <w:r>
        <w:t xml:space="preserve">, dandoci </w:t>
      </w:r>
      <w:r w:rsidRPr="002C49A6">
        <w:rPr>
          <w:b/>
          <w:bCs/>
        </w:rPr>
        <w:t xml:space="preserve">una fotografia della sicurezza e dell’efficacia nel </w:t>
      </w:r>
      <w:r w:rsidRPr="002C49A6">
        <w:rPr>
          <w:rFonts w:cstheme="minorHAnsi"/>
          <w:b/>
          <w:bCs/>
        </w:rPr>
        <w:t>«</w:t>
      </w:r>
      <w:r w:rsidRPr="002C49A6">
        <w:rPr>
          <w:b/>
          <w:bCs/>
        </w:rPr>
        <w:t>mondo reale</w:t>
      </w:r>
      <w:r w:rsidRPr="002C49A6">
        <w:rPr>
          <w:rFonts w:cstheme="minorHAnsi"/>
          <w:b/>
          <w:bCs/>
        </w:rPr>
        <w:t>»</w:t>
      </w:r>
      <w:r>
        <w:rPr>
          <w:rFonts w:cstheme="minorHAnsi"/>
        </w:rPr>
        <w:t xml:space="preserve">. </w:t>
      </w:r>
      <w:r w:rsidR="00A976D9">
        <w:rPr>
          <w:rFonts w:cstheme="minorHAnsi"/>
        </w:rPr>
        <w:t>Non a caso questi dati sono definiti</w:t>
      </w:r>
      <w:r w:rsidR="00403925">
        <w:rPr>
          <w:rFonts w:cstheme="minorHAnsi"/>
        </w:rPr>
        <w:t xml:space="preserve"> </w:t>
      </w:r>
      <w:r w:rsidR="00403925" w:rsidRPr="002C49A6">
        <w:rPr>
          <w:rFonts w:cstheme="minorHAnsi"/>
          <w:b/>
          <w:bCs/>
        </w:rPr>
        <w:t>dati della</w:t>
      </w:r>
      <w:r w:rsidR="00A976D9" w:rsidRPr="002C49A6">
        <w:rPr>
          <w:rFonts w:cstheme="minorHAnsi"/>
          <w:b/>
          <w:bCs/>
        </w:rPr>
        <w:t xml:space="preserve"> Real World </w:t>
      </w:r>
      <w:proofErr w:type="spellStart"/>
      <w:r w:rsidR="00A976D9" w:rsidRPr="002C49A6">
        <w:rPr>
          <w:rFonts w:cstheme="minorHAnsi"/>
          <w:b/>
          <w:bCs/>
        </w:rPr>
        <w:t>Evidence</w:t>
      </w:r>
      <w:proofErr w:type="spellEnd"/>
      <w:r w:rsidR="00A976D9" w:rsidRPr="002C49A6">
        <w:rPr>
          <w:rFonts w:cstheme="minorHAnsi"/>
          <w:b/>
          <w:bCs/>
        </w:rPr>
        <w:t xml:space="preserve"> (RWE)</w:t>
      </w:r>
      <w:r w:rsidR="00403925">
        <w:rPr>
          <w:rFonts w:cstheme="minorHAnsi"/>
        </w:rPr>
        <w:t>.</w:t>
      </w:r>
      <w:r>
        <w:t xml:space="preserve"> </w:t>
      </w:r>
    </w:p>
    <w:p w14:paraId="7429C0F5" w14:textId="77777777" w:rsidR="005732AA" w:rsidRDefault="005732AA" w:rsidP="003B1B55"/>
    <w:p w14:paraId="3A870E3F" w14:textId="4FE4FD30" w:rsidR="002C49A6" w:rsidRDefault="00AE2EA7" w:rsidP="00AE2EA7">
      <w:r>
        <w:rPr>
          <w:rFonts w:cstheme="minorHAnsi"/>
        </w:rPr>
        <w:lastRenderedPageBreak/>
        <w:t>«</w:t>
      </w:r>
      <w:r w:rsidR="002C49A6">
        <w:t>Nell’attuale situazione</w:t>
      </w:r>
      <w:r>
        <w:t xml:space="preserve"> è essenziale stabilire rapidamente i profili di rischio-beneficio dei vaccini che rappresentano </w:t>
      </w:r>
      <w:r w:rsidRPr="002C49A6">
        <w:rPr>
          <w:b/>
          <w:bCs/>
        </w:rPr>
        <w:t>l’unica arma efficace contro il virus</w:t>
      </w:r>
      <w:r>
        <w:t xml:space="preserve"> – spiega il Presidente della Società Italiana di Farmacologia Giorgio Racagni –. </w:t>
      </w:r>
      <w:r w:rsidR="002C49A6">
        <w:t>Si capisce bene perché i dati d</w:t>
      </w:r>
      <w:r>
        <w:t xml:space="preserve">ella Real World </w:t>
      </w:r>
      <w:proofErr w:type="spellStart"/>
      <w:r>
        <w:t>Evidence</w:t>
      </w:r>
      <w:proofErr w:type="spellEnd"/>
      <w:r>
        <w:t xml:space="preserve"> (RWE), derivanti </w:t>
      </w:r>
      <w:r w:rsidR="00E03248">
        <w:t xml:space="preserve">cioè </w:t>
      </w:r>
      <w:r>
        <w:t>dalla fase immediatamente successiva alla commercializzazione</w:t>
      </w:r>
      <w:r w:rsidR="002C49A6">
        <w:t>,</w:t>
      </w:r>
      <w:r>
        <w:t xml:space="preserve"> </w:t>
      </w:r>
      <w:r w:rsidR="002C49A6">
        <w:t>siano preziosi, dal momento che i</w:t>
      </w:r>
      <w:r>
        <w:t xml:space="preserve">l </w:t>
      </w:r>
      <w:r w:rsidR="002C49A6">
        <w:t>“</w:t>
      </w:r>
      <w:r>
        <w:t>mondo reale</w:t>
      </w:r>
      <w:r w:rsidR="002C49A6">
        <w:t>” è</w:t>
      </w:r>
      <w:r>
        <w:t xml:space="preserve"> costituito da un campione di molti milioni di persone. Gli studi di RWE, inoltre, possono dare </w:t>
      </w:r>
      <w:r w:rsidRPr="002C49A6">
        <w:rPr>
          <w:b/>
          <w:bCs/>
        </w:rPr>
        <w:t>risultati in breve termine e con costi limitati</w:t>
      </w:r>
      <w:r w:rsidR="002C49A6">
        <w:rPr>
          <w:rFonts w:cstheme="minorHAnsi"/>
        </w:rPr>
        <w:t>»</w:t>
      </w:r>
      <w:r>
        <w:t xml:space="preserve">. </w:t>
      </w:r>
    </w:p>
    <w:p w14:paraId="5E63BCCF" w14:textId="77777777" w:rsidR="002C49A6" w:rsidRDefault="002C49A6" w:rsidP="00AE2EA7"/>
    <w:p w14:paraId="762493AC" w14:textId="281D86E6" w:rsidR="00EB68EB" w:rsidRPr="00EB68EB" w:rsidRDefault="00EB68EB" w:rsidP="00EB68EB">
      <w:r>
        <w:t>A condurre i</w:t>
      </w:r>
      <w:r w:rsidRPr="00EB68EB">
        <w:t xml:space="preserve">l progetto l’olandese Utrecht University </w:t>
      </w:r>
      <w:proofErr w:type="spellStart"/>
      <w:r w:rsidRPr="00EB68EB">
        <w:t>Medical</w:t>
      </w:r>
      <w:proofErr w:type="spellEnd"/>
      <w:r w:rsidRPr="00EB68EB">
        <w:t xml:space="preserve"> Center, con il nostro Paese a rivestire un ruolo di primo piano. </w:t>
      </w:r>
      <w:r>
        <w:t>È</w:t>
      </w:r>
      <w:r w:rsidRPr="00EB68EB">
        <w:t xml:space="preserve"> stato costituito </w:t>
      </w:r>
      <w:r>
        <w:t xml:space="preserve">infatti </w:t>
      </w:r>
      <w:r w:rsidRPr="00EB68EB">
        <w:t xml:space="preserve">un apposito network italiano coordinato dall’Università di Verona, con il coinvolgimento di diversi centri vaccinali, centri accademici e centri regionali di Farmacovigilanza, assieme alla Società Italiana di Farmacologia </w:t>
      </w:r>
      <w:r>
        <w:t>(SIF)</w:t>
      </w:r>
      <w:r w:rsidRPr="00EB68EB">
        <w:t>, Società Italiana Medicina Generale (SIMG) e Associazione Nazionale dei Malati Reumatici (ANMAR).</w:t>
      </w:r>
    </w:p>
    <w:p w14:paraId="188DC0ED" w14:textId="77777777" w:rsidR="00EB68EB" w:rsidRDefault="00EB68EB" w:rsidP="00AE2EA7"/>
    <w:p w14:paraId="5D088561" w14:textId="452C7007" w:rsidR="00AE2EA7" w:rsidRDefault="00AE2EA7" w:rsidP="00AE2EA7">
      <w:r>
        <w:t>La Società Italiana di Farmacologia</w:t>
      </w:r>
      <w:r w:rsidR="00EB68EB">
        <w:t xml:space="preserve"> ha quindi</w:t>
      </w:r>
      <w:r>
        <w:t xml:space="preserve"> costituito </w:t>
      </w:r>
      <w:r w:rsidRPr="002A6408">
        <w:rPr>
          <w:b/>
          <w:bCs/>
        </w:rPr>
        <w:t>un gruppo di esperti in RWE</w:t>
      </w:r>
      <w:r>
        <w:t xml:space="preserve"> con lo scopo di esaminare il ruolo di questi dati nelle situazioni di emergenza sanitaria proprio come quella che stiamo passando</w:t>
      </w:r>
      <w:r w:rsidR="00526C38">
        <w:t xml:space="preserve">, </w:t>
      </w:r>
      <w:r w:rsidR="00526C38" w:rsidRPr="00526C38">
        <w:t xml:space="preserve">per comparare i profili di rischio e beneficio dei vari prodotti approvati in Europa: </w:t>
      </w:r>
      <w:r w:rsidR="00526C38" w:rsidRPr="002A6408">
        <w:rPr>
          <w:b/>
          <w:bCs/>
        </w:rPr>
        <w:t>Pfizer-</w:t>
      </w:r>
      <w:proofErr w:type="spellStart"/>
      <w:r w:rsidR="00526C38" w:rsidRPr="002A6408">
        <w:rPr>
          <w:b/>
          <w:bCs/>
        </w:rPr>
        <w:t>BionTech</w:t>
      </w:r>
      <w:proofErr w:type="spellEnd"/>
      <w:r w:rsidR="00526C38" w:rsidRPr="002A6408">
        <w:rPr>
          <w:b/>
          <w:bCs/>
        </w:rPr>
        <w:t>, Moderna, AstraZeneca e Johnson &amp; Johnson</w:t>
      </w:r>
      <w:r w:rsidR="00526C38" w:rsidRPr="00526C38">
        <w:t>.</w:t>
      </w:r>
      <w:r w:rsidR="00526C38">
        <w:t xml:space="preserve"> </w:t>
      </w:r>
      <w:r w:rsidR="00294D34">
        <w:rPr>
          <w:rFonts w:cstheme="minorHAnsi"/>
        </w:rPr>
        <w:t>«</w:t>
      </w:r>
      <w:r w:rsidR="00294D34" w:rsidRPr="00294D34">
        <w:t xml:space="preserve">La grave situazione pandemica dovuta all’impatto del C0VID-19 </w:t>
      </w:r>
      <w:r w:rsidR="00294D34">
        <w:t xml:space="preserve">– continua Racagni – </w:t>
      </w:r>
      <w:r w:rsidR="00294D34" w:rsidRPr="00294D34">
        <w:t xml:space="preserve">sottolinea la necessità di generare </w:t>
      </w:r>
      <w:r w:rsidR="00294D34" w:rsidRPr="002A6408">
        <w:rPr>
          <w:b/>
          <w:bCs/>
        </w:rPr>
        <w:t>evidenze scientifiche che sostengano le decisioni delle Agenzie Regolatorie</w:t>
      </w:r>
      <w:r w:rsidR="00EB68EB">
        <w:t xml:space="preserve">, vale a dire </w:t>
      </w:r>
      <w:r w:rsidR="00294D34">
        <w:t>l’</w:t>
      </w:r>
      <w:r w:rsidR="00294D34" w:rsidRPr="00294D34">
        <w:t xml:space="preserve">Agenzia Europa del Farmaco </w:t>
      </w:r>
      <w:r w:rsidR="00294D34">
        <w:t>e l’</w:t>
      </w:r>
      <w:r w:rsidR="00294D34" w:rsidRPr="00294D34">
        <w:t>Agenzia Italiana del Farmaco</w:t>
      </w:r>
      <w:r w:rsidR="00EB68EB">
        <w:t>, deputate a concedere le autorizzazioni alle sperimentazioni e l’eventuale immissione in commercio di farmaci e vaccini</w:t>
      </w:r>
      <w:r w:rsidR="00761773">
        <w:t>, ad integrazione dei preziosi dati già raccolti tramite il sistema di segnalazione spontanea di reazioni avverse dei singoli Paesi</w:t>
      </w:r>
      <w:r w:rsidR="00294D34">
        <w:rPr>
          <w:rFonts w:cstheme="minorHAnsi"/>
        </w:rPr>
        <w:t>»</w:t>
      </w:r>
      <w:r w:rsidR="00294D34" w:rsidRPr="00294D34">
        <w:t>.</w:t>
      </w:r>
    </w:p>
    <w:p w14:paraId="2AF1C10B" w14:textId="146ECF64" w:rsidR="00AE2EA7" w:rsidRDefault="00AE2EA7" w:rsidP="00AE2EA7"/>
    <w:p w14:paraId="7A16E63F" w14:textId="3DBC9E4A" w:rsidR="00526C38" w:rsidRDefault="002A6408" w:rsidP="00AE2EA7">
      <w:r w:rsidRPr="002A6408">
        <w:t xml:space="preserve">A coordinare il network dei partner </w:t>
      </w:r>
      <w:r>
        <w:t>i</w:t>
      </w:r>
      <w:r w:rsidRPr="002A6408">
        <w:t xml:space="preserve">taliani partecipanti </w:t>
      </w:r>
      <w:r w:rsidR="00BE329C">
        <w:t xml:space="preserve">al progetto </w:t>
      </w:r>
      <w:r w:rsidRPr="002A6408">
        <w:t>è l’Università degli studi di Verona</w:t>
      </w:r>
      <w:r w:rsidR="008D3CB1">
        <w:t xml:space="preserve">, </w:t>
      </w:r>
      <w:r w:rsidR="00EB68EB">
        <w:t xml:space="preserve">con </w:t>
      </w:r>
      <w:r w:rsidRPr="002A6408">
        <w:t xml:space="preserve">Gianluca Trifirò, </w:t>
      </w:r>
      <w:r w:rsidR="00EB68EB">
        <w:t xml:space="preserve">membro SIF, Professore </w:t>
      </w:r>
      <w:r w:rsidRPr="002A6408">
        <w:t>ordinario di Farmacologia</w:t>
      </w:r>
      <w:r w:rsidR="00BE329C">
        <w:t xml:space="preserve"> dello stesso ateneo</w:t>
      </w:r>
      <w:r w:rsidR="003E66DB" w:rsidRPr="003E66DB">
        <w:t xml:space="preserve"> </w:t>
      </w:r>
      <w:r w:rsidR="003E66DB">
        <w:t>nonché r</w:t>
      </w:r>
      <w:r w:rsidR="003E66DB" w:rsidRPr="003E66DB">
        <w:t xml:space="preserve">esponsabile scientifico dello spin-off accademico </w:t>
      </w:r>
      <w:r w:rsidR="003E66DB" w:rsidRPr="003E66DB">
        <w:rPr>
          <w:i/>
          <w:iCs/>
        </w:rPr>
        <w:t xml:space="preserve">INSPIRE - Innovative Solutions For </w:t>
      </w:r>
      <w:proofErr w:type="spellStart"/>
      <w:r w:rsidR="003E66DB" w:rsidRPr="003E66DB">
        <w:rPr>
          <w:i/>
          <w:iCs/>
        </w:rPr>
        <w:t>Medical</w:t>
      </w:r>
      <w:proofErr w:type="spellEnd"/>
      <w:r w:rsidR="003E66DB" w:rsidRPr="003E66DB">
        <w:rPr>
          <w:i/>
          <w:iCs/>
        </w:rPr>
        <w:t xml:space="preserve"> </w:t>
      </w:r>
      <w:proofErr w:type="spellStart"/>
      <w:r w:rsidR="003E66DB" w:rsidRPr="003E66DB">
        <w:rPr>
          <w:i/>
          <w:iCs/>
        </w:rPr>
        <w:t>Prediction</w:t>
      </w:r>
      <w:proofErr w:type="spellEnd"/>
      <w:r w:rsidR="003E66DB" w:rsidRPr="003E66DB">
        <w:rPr>
          <w:i/>
          <w:iCs/>
        </w:rPr>
        <w:t xml:space="preserve"> And Big Data Integration In Real World Setting</w:t>
      </w:r>
      <w:r w:rsidR="0005310F">
        <w:t xml:space="preserve">, che ribadisce: </w:t>
      </w:r>
      <w:r w:rsidR="0005310F">
        <w:rPr>
          <w:rFonts w:cstheme="minorHAnsi"/>
        </w:rPr>
        <w:t>«</w:t>
      </w:r>
      <w:r w:rsidR="008D3CB1">
        <w:rPr>
          <w:rFonts w:cstheme="minorHAnsi"/>
        </w:rPr>
        <w:t>Il monitoraggio dell</w:t>
      </w:r>
      <w:r w:rsidR="008D3CB1">
        <w:t xml:space="preserve">e </w:t>
      </w:r>
      <w:r w:rsidR="0005310F" w:rsidRPr="0005310F">
        <w:t xml:space="preserve">categorie </w:t>
      </w:r>
      <w:r w:rsidR="008D3CB1">
        <w:t xml:space="preserve">più </w:t>
      </w:r>
      <w:r w:rsidR="0005310F" w:rsidRPr="0005310F">
        <w:t>fragili</w:t>
      </w:r>
      <w:r w:rsidR="008D3CB1">
        <w:t>,</w:t>
      </w:r>
      <w:r w:rsidR="0005310F" w:rsidRPr="0005310F">
        <w:t xml:space="preserve"> che non sono state inserite in gran parte degli studi </w:t>
      </w:r>
      <w:proofErr w:type="spellStart"/>
      <w:r w:rsidR="0005310F" w:rsidRPr="0005310F">
        <w:t>premarketing</w:t>
      </w:r>
      <w:proofErr w:type="spellEnd"/>
      <w:r w:rsidR="0005310F">
        <w:t xml:space="preserve"> </w:t>
      </w:r>
      <w:r w:rsidR="0005310F" w:rsidRPr="0005310F">
        <w:t>sui vaccini anti COVID-19</w:t>
      </w:r>
      <w:r w:rsidR="008D3CB1">
        <w:t>, è</w:t>
      </w:r>
      <w:r w:rsidR="0005310F" w:rsidRPr="0005310F">
        <w:t xml:space="preserve"> </w:t>
      </w:r>
      <w:r w:rsidR="0005310F">
        <w:t>strategico</w:t>
      </w:r>
      <w:r w:rsidR="00EB68EB">
        <w:t xml:space="preserve"> perché ci arricchirà di informazioni che non è stato possibile acquisire in partenza</w:t>
      </w:r>
      <w:r w:rsidR="0005310F">
        <w:t xml:space="preserve">, e in questo contesto i dati della </w:t>
      </w:r>
      <w:r w:rsidR="0005310F" w:rsidRPr="0005310F">
        <w:t xml:space="preserve">Real World </w:t>
      </w:r>
      <w:proofErr w:type="spellStart"/>
      <w:r w:rsidR="00BE449C">
        <w:t>Evidence</w:t>
      </w:r>
      <w:proofErr w:type="spellEnd"/>
      <w:r w:rsidR="00BE449C">
        <w:t xml:space="preserve"> </w:t>
      </w:r>
      <w:r w:rsidR="0005310F">
        <w:t>sono</w:t>
      </w:r>
      <w:r w:rsidR="0005310F" w:rsidRPr="0005310F">
        <w:t xml:space="preserve"> assolutamente fondamental</w:t>
      </w:r>
      <w:r w:rsidR="0005310F">
        <w:t>i</w:t>
      </w:r>
      <w:r w:rsidR="0005310F">
        <w:rPr>
          <w:rFonts w:cstheme="minorHAnsi"/>
        </w:rPr>
        <w:t>»</w:t>
      </w:r>
      <w:r w:rsidR="0005310F">
        <w:t>.</w:t>
      </w:r>
    </w:p>
    <w:p w14:paraId="0C34444D" w14:textId="4C2CFF9C" w:rsidR="00910069" w:rsidRDefault="00910069" w:rsidP="00AE2EA7"/>
    <w:p w14:paraId="7556E201" w14:textId="112B0B84" w:rsidR="00910069" w:rsidRDefault="00910069" w:rsidP="00AE2EA7">
      <w:r>
        <w:rPr>
          <w:rFonts w:cstheme="minorHAnsi"/>
        </w:rPr>
        <w:t>«</w:t>
      </w:r>
      <w:r>
        <w:t xml:space="preserve">La </w:t>
      </w:r>
      <w:r w:rsidRPr="00BE449C">
        <w:rPr>
          <w:b/>
          <w:bCs/>
        </w:rPr>
        <w:t>web app</w:t>
      </w:r>
      <w:r w:rsidRPr="00910069">
        <w:t xml:space="preserve"> </w:t>
      </w:r>
      <w:r w:rsidR="00BE449C">
        <w:t xml:space="preserve">è stata </w:t>
      </w:r>
      <w:r w:rsidRPr="00910069">
        <w:t>sviluppata da</w:t>
      </w:r>
      <w:r>
        <w:t>i</w:t>
      </w:r>
      <w:r w:rsidRPr="00910069">
        <w:t xml:space="preserve"> </w:t>
      </w:r>
      <w:r w:rsidR="00BE449C">
        <w:t xml:space="preserve">colleghi </w:t>
      </w:r>
      <w:r w:rsidRPr="00910069">
        <w:t xml:space="preserve">olandesi </w:t>
      </w:r>
      <w:r>
        <w:t xml:space="preserve">– </w:t>
      </w:r>
      <w:r w:rsidR="00EB68EB">
        <w:t>specifica</w:t>
      </w:r>
      <w:r>
        <w:t xml:space="preserve"> Trifirò – </w:t>
      </w:r>
      <w:r w:rsidR="00BE449C">
        <w:t>e poi</w:t>
      </w:r>
      <w:r w:rsidRPr="00910069">
        <w:t xml:space="preserve"> riadattata al contesto italiano</w:t>
      </w:r>
      <w:r>
        <w:t>.</w:t>
      </w:r>
      <w:r w:rsidRPr="00910069">
        <w:t xml:space="preserve"> In particolare, le persone vaccinate che aderiscono allo studio d</w:t>
      </w:r>
      <w:r w:rsidR="006C2230">
        <w:t>ovranno</w:t>
      </w:r>
      <w:r w:rsidRPr="00910069">
        <w:t xml:space="preserve"> eseguire la </w:t>
      </w:r>
      <w:r w:rsidRPr="00910069">
        <w:rPr>
          <w:b/>
          <w:bCs/>
        </w:rPr>
        <w:t>registrazione alla web app entro 48 ore dal vaccino</w:t>
      </w:r>
      <w:r w:rsidRPr="00910069">
        <w:t xml:space="preserve"> e compilare un </w:t>
      </w:r>
      <w:r w:rsidRPr="00910069">
        <w:rPr>
          <w:b/>
          <w:bCs/>
        </w:rPr>
        <w:t>questionario elettronico</w:t>
      </w:r>
      <w:r w:rsidRPr="00910069">
        <w:t xml:space="preserve"> di base, a cui segu</w:t>
      </w:r>
      <w:r w:rsidR="006C2230">
        <w:t>irà</w:t>
      </w:r>
      <w:r w:rsidRPr="00910069">
        <w:t xml:space="preserve"> l’invio temporizzato di questionari via e</w:t>
      </w:r>
      <w:r>
        <w:t>-</w:t>
      </w:r>
      <w:r w:rsidRPr="00910069">
        <w:t xml:space="preserve">mail a 1 e 3 settimane dalla prima dose e dalla seconda dose, e poi a 3 e a 6 mesi dalla prima dose, per </w:t>
      </w:r>
      <w:r w:rsidRPr="00910069">
        <w:rPr>
          <w:b/>
          <w:bCs/>
        </w:rPr>
        <w:t>controllare gli effetti a lungo termine</w:t>
      </w:r>
      <w:r w:rsidRPr="00910069">
        <w:t xml:space="preserve"> e l’eventuale comparsa di infezione da SARS-COV-2</w:t>
      </w:r>
      <w:r>
        <w:rPr>
          <w:rFonts w:cstheme="minorHAnsi"/>
        </w:rPr>
        <w:t>»</w:t>
      </w:r>
      <w:r w:rsidRPr="00910069">
        <w:t>.</w:t>
      </w:r>
    </w:p>
    <w:p w14:paraId="4B03E906" w14:textId="700F7833" w:rsidR="00910069" w:rsidRDefault="00910069" w:rsidP="00AE2EA7"/>
    <w:p w14:paraId="1C832162" w14:textId="7C9F9516" w:rsidR="00910069" w:rsidRDefault="00A76B73" w:rsidP="00AE2EA7">
      <w:pPr>
        <w:rPr>
          <w:rFonts w:cstheme="minorHAnsi"/>
        </w:rPr>
      </w:pPr>
      <w:r>
        <w:lastRenderedPageBreak/>
        <w:t xml:space="preserve">Tutti i particolari del progetto saranno presentati </w:t>
      </w:r>
      <w:r w:rsidR="008D015B">
        <w:t xml:space="preserve">da </w:t>
      </w:r>
      <w:r>
        <w:t>Trifirò</w:t>
      </w:r>
      <w:r w:rsidR="008D015B">
        <w:t>,</w:t>
      </w:r>
      <w:r>
        <w:t xml:space="preserve"> Racagni </w:t>
      </w:r>
      <w:r w:rsidR="008D015B">
        <w:t xml:space="preserve">e colleghi </w:t>
      </w:r>
      <w:r>
        <w:t>durante il webinar</w:t>
      </w:r>
      <w:r w:rsidR="008D015B">
        <w:t xml:space="preserve"> </w:t>
      </w:r>
      <w:r w:rsidR="008D015B">
        <w:rPr>
          <w:rFonts w:cstheme="minorHAnsi"/>
        </w:rPr>
        <w:t>«</w:t>
      </w:r>
      <w:r w:rsidR="008D015B" w:rsidRPr="008D015B">
        <w:t xml:space="preserve">Post-marketing </w:t>
      </w:r>
      <w:proofErr w:type="spellStart"/>
      <w:r w:rsidR="008D015B" w:rsidRPr="008D015B">
        <w:t>surveillance</w:t>
      </w:r>
      <w:proofErr w:type="spellEnd"/>
      <w:r w:rsidR="008D015B" w:rsidRPr="008D015B">
        <w:t xml:space="preserve"> of </w:t>
      </w:r>
      <w:proofErr w:type="spellStart"/>
      <w:r w:rsidR="008D015B" w:rsidRPr="008D015B">
        <w:t>vaccines</w:t>
      </w:r>
      <w:proofErr w:type="spellEnd"/>
      <w:r w:rsidR="008D015B" w:rsidRPr="008D015B">
        <w:t xml:space="preserve"> </w:t>
      </w:r>
      <w:proofErr w:type="spellStart"/>
      <w:r w:rsidR="008D015B" w:rsidRPr="008D015B">
        <w:t>against</w:t>
      </w:r>
      <w:proofErr w:type="spellEnd"/>
      <w:r w:rsidR="008D015B" w:rsidRPr="008D015B">
        <w:t xml:space="preserve"> COVID-19: </w:t>
      </w:r>
      <w:proofErr w:type="spellStart"/>
      <w:r w:rsidR="008D015B" w:rsidRPr="008D015B">
        <w:t>where</w:t>
      </w:r>
      <w:proofErr w:type="spellEnd"/>
      <w:r w:rsidR="008D015B" w:rsidRPr="008D015B">
        <w:t xml:space="preserve"> do </w:t>
      </w:r>
      <w:proofErr w:type="spellStart"/>
      <w:r w:rsidR="008D015B" w:rsidRPr="008D015B">
        <w:t>we</w:t>
      </w:r>
      <w:proofErr w:type="spellEnd"/>
      <w:r w:rsidR="008D015B" w:rsidRPr="008D015B">
        <w:t xml:space="preserve"> stand?</w:t>
      </w:r>
      <w:r w:rsidR="008D015B">
        <w:rPr>
          <w:rFonts w:cstheme="minorHAnsi"/>
        </w:rPr>
        <w:t xml:space="preserve">», in calendario venerdì 28 maggio. Tutte le informazioni al seguente link: </w:t>
      </w:r>
      <w:hyperlink r:id="rId7" w:history="1">
        <w:r w:rsidR="008D015B" w:rsidRPr="00085FB0">
          <w:rPr>
            <w:rStyle w:val="Collegamentoipertestuale"/>
            <w:rFonts w:cstheme="minorHAnsi"/>
          </w:rPr>
          <w:t>https://bit.ly/3wmTHKB</w:t>
        </w:r>
      </w:hyperlink>
      <w:r w:rsidR="008D015B">
        <w:rPr>
          <w:rFonts w:cstheme="minorHAnsi"/>
        </w:rPr>
        <w:t>.</w:t>
      </w:r>
    </w:p>
    <w:p w14:paraId="2BE18DC3" w14:textId="77777777" w:rsidR="008D015B" w:rsidRDefault="008D015B" w:rsidP="00AE2EA7"/>
    <w:sectPr w:rsidR="008D015B" w:rsidSect="007770E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36C3" w14:textId="77777777" w:rsidR="00E55F1A" w:rsidRDefault="00E55F1A" w:rsidP="00625F10">
      <w:r>
        <w:separator/>
      </w:r>
    </w:p>
  </w:endnote>
  <w:endnote w:type="continuationSeparator" w:id="0">
    <w:p w14:paraId="7F96D0A1" w14:textId="77777777" w:rsidR="00E55F1A" w:rsidRDefault="00E55F1A" w:rsidP="0062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5B5B" w14:textId="77777777" w:rsidR="00625F10" w:rsidRDefault="00625F10" w:rsidP="00625F10">
    <w:pPr>
      <w:tabs>
        <w:tab w:val="center" w:pos="4819"/>
        <w:tab w:val="right" w:pos="9638"/>
      </w:tabs>
      <w:rPr>
        <w:rFonts w:ascii="Times New Roman" w:hAnsi="Times New Roman" w:cs="Times New Roman"/>
        <w:sz w:val="18"/>
        <w:szCs w:val="18"/>
      </w:rPr>
    </w:pPr>
  </w:p>
  <w:p w14:paraId="4C227E7D" w14:textId="6CB342E6" w:rsidR="00625F10" w:rsidRPr="00625F10" w:rsidRDefault="00625F10" w:rsidP="00625F10">
    <w:pPr>
      <w:tabs>
        <w:tab w:val="center" w:pos="4819"/>
        <w:tab w:val="right" w:pos="9638"/>
      </w:tabs>
      <w:rPr>
        <w:rFonts w:ascii="Times New Roman" w:hAnsi="Times New Roman" w:cs="Times New Roman"/>
        <w:sz w:val="18"/>
        <w:szCs w:val="18"/>
      </w:rPr>
    </w:pPr>
    <w:r w:rsidRPr="00625F10">
      <w:rPr>
        <w:rFonts w:ascii="Times New Roman" w:hAnsi="Times New Roman" w:cs="Times New Roman"/>
        <w:sz w:val="18"/>
        <w:szCs w:val="18"/>
      </w:rPr>
      <w:t xml:space="preserve">Dr. Marco Pivato, </w:t>
    </w:r>
    <w:proofErr w:type="spellStart"/>
    <w:r w:rsidRPr="00625F10">
      <w:rPr>
        <w:rFonts w:ascii="Times New Roman" w:hAnsi="Times New Roman" w:cs="Times New Roman"/>
        <w:i/>
        <w:iCs/>
        <w:sz w:val="18"/>
        <w:szCs w:val="18"/>
      </w:rPr>
      <w:t>MPharm</w:t>
    </w:r>
    <w:proofErr w:type="spellEnd"/>
    <w:r w:rsidRPr="00625F10">
      <w:rPr>
        <w:rFonts w:ascii="Times New Roman" w:hAnsi="Times New Roman" w:cs="Times New Roman"/>
        <w:i/>
        <w:iCs/>
        <w:sz w:val="18"/>
        <w:szCs w:val="18"/>
      </w:rPr>
      <w:t>.</w:t>
    </w:r>
  </w:p>
  <w:p w14:paraId="625B6F8E" w14:textId="77777777" w:rsidR="00625F10" w:rsidRPr="00625F10" w:rsidRDefault="00625F10" w:rsidP="00625F10">
    <w:pPr>
      <w:tabs>
        <w:tab w:val="center" w:pos="4819"/>
        <w:tab w:val="right" w:pos="9638"/>
      </w:tabs>
      <w:rPr>
        <w:rFonts w:ascii="Times New Roman" w:hAnsi="Times New Roman" w:cs="Times New Roman"/>
        <w:sz w:val="18"/>
        <w:szCs w:val="18"/>
      </w:rPr>
    </w:pPr>
    <w:r w:rsidRPr="00625F10">
      <w:rPr>
        <w:rFonts w:ascii="Times New Roman" w:hAnsi="Times New Roman" w:cs="Times New Roman"/>
        <w:sz w:val="18"/>
        <w:szCs w:val="18"/>
      </w:rPr>
      <w:t>Società Italiana di Farmacologia - Area Comunicazione.</w:t>
    </w:r>
  </w:p>
  <w:p w14:paraId="68D374DF" w14:textId="77777777" w:rsidR="00625F10" w:rsidRPr="00625F10" w:rsidRDefault="00625F10" w:rsidP="00625F10">
    <w:pPr>
      <w:tabs>
        <w:tab w:val="center" w:pos="4819"/>
        <w:tab w:val="right" w:pos="9638"/>
      </w:tabs>
      <w:rPr>
        <w:rFonts w:ascii="Times New Roman" w:hAnsi="Times New Roman" w:cs="Times New Roman"/>
        <w:sz w:val="18"/>
        <w:szCs w:val="18"/>
      </w:rPr>
    </w:pPr>
    <w:r w:rsidRPr="00625F10">
      <w:rPr>
        <w:rFonts w:ascii="Times New Roman" w:hAnsi="Times New Roman" w:cs="Times New Roman"/>
        <w:sz w:val="18"/>
        <w:szCs w:val="18"/>
      </w:rPr>
      <w:t>Via Giovanni Pascoli, 03 - 20129 Milano.</w:t>
    </w:r>
  </w:p>
  <w:p w14:paraId="13378A7F" w14:textId="77777777" w:rsidR="00625F10" w:rsidRPr="00625F10" w:rsidRDefault="00625F10" w:rsidP="00625F10">
    <w:pPr>
      <w:tabs>
        <w:tab w:val="center" w:pos="4819"/>
        <w:tab w:val="right" w:pos="9638"/>
      </w:tabs>
      <w:rPr>
        <w:rFonts w:ascii="Times New Roman" w:hAnsi="Times New Roman" w:cs="Times New Roman"/>
        <w:sz w:val="18"/>
        <w:szCs w:val="18"/>
      </w:rPr>
    </w:pPr>
    <w:r w:rsidRPr="00625F10">
      <w:rPr>
        <w:rFonts w:ascii="Times New Roman" w:hAnsi="Times New Roman" w:cs="Times New Roman"/>
        <w:sz w:val="18"/>
        <w:szCs w:val="18"/>
      </w:rPr>
      <w:t xml:space="preserve">Mob. 349 5297270 </w:t>
    </w:r>
    <w:hyperlink r:id="rId1" w:history="1">
      <w:r w:rsidRPr="00625F10">
        <w:rPr>
          <w:rFonts w:ascii="Times New Roman" w:hAnsi="Times New Roman" w:cs="Times New Roman"/>
          <w:color w:val="0000FF"/>
          <w:sz w:val="18"/>
          <w:szCs w:val="18"/>
          <w:u w:val="single"/>
        </w:rPr>
        <w:t>ufficiostampa@sif-farmacologia.it</w:t>
      </w:r>
    </w:hyperlink>
    <w:r w:rsidRPr="00625F10">
      <w:rPr>
        <w:rFonts w:ascii="Times New Roman" w:hAnsi="Times New Roman" w:cs="Times New Roman"/>
        <w:sz w:val="18"/>
        <w:szCs w:val="18"/>
      </w:rPr>
      <w:t xml:space="preserve"> - </w:t>
    </w:r>
    <w:hyperlink r:id="rId2" w:history="1">
      <w:r w:rsidRPr="00625F10">
        <w:rPr>
          <w:rFonts w:ascii="Times New Roman" w:hAnsi="Times New Roman" w:cs="Times New Roman"/>
          <w:color w:val="0000FF"/>
          <w:sz w:val="18"/>
          <w:szCs w:val="18"/>
          <w:u w:val="single"/>
        </w:rPr>
        <w:t>www.sifweb.org</w:t>
      </w:r>
    </w:hyperlink>
  </w:p>
  <w:p w14:paraId="338C9A63" w14:textId="77777777" w:rsidR="00625F10" w:rsidRDefault="00625F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2FA3" w14:textId="77777777" w:rsidR="00E55F1A" w:rsidRDefault="00E55F1A" w:rsidP="00625F10">
      <w:r>
        <w:separator/>
      </w:r>
    </w:p>
  </w:footnote>
  <w:footnote w:type="continuationSeparator" w:id="0">
    <w:p w14:paraId="121EEB81" w14:textId="77777777" w:rsidR="00E55F1A" w:rsidRDefault="00E55F1A" w:rsidP="0062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AEC5" w14:textId="1F5E6DDA" w:rsidR="00625F10" w:rsidRDefault="00625F10" w:rsidP="00625F10">
    <w:pPr>
      <w:pStyle w:val="Intestazione"/>
      <w:jc w:val="center"/>
    </w:pPr>
    <w:r>
      <w:rPr>
        <w:noProof/>
      </w:rPr>
      <w:drawing>
        <wp:inline distT="0" distB="0" distL="0" distR="0" wp14:anchorId="3056734B" wp14:editId="404B2F32">
          <wp:extent cx="1638795" cy="773576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052" cy="78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91220" w14:textId="77777777" w:rsidR="00625F10" w:rsidRDefault="00625F10" w:rsidP="00625F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13796"/>
    <w:multiLevelType w:val="multilevel"/>
    <w:tmpl w:val="604E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DA"/>
    <w:rsid w:val="00011C80"/>
    <w:rsid w:val="00035912"/>
    <w:rsid w:val="0004075C"/>
    <w:rsid w:val="0005310F"/>
    <w:rsid w:val="000D1A98"/>
    <w:rsid w:val="000F068B"/>
    <w:rsid w:val="000F2915"/>
    <w:rsid w:val="000F37B1"/>
    <w:rsid w:val="001E4A3E"/>
    <w:rsid w:val="00294D34"/>
    <w:rsid w:val="002A6408"/>
    <w:rsid w:val="002C49A6"/>
    <w:rsid w:val="002D48ED"/>
    <w:rsid w:val="00356CC4"/>
    <w:rsid w:val="00371069"/>
    <w:rsid w:val="003B1B55"/>
    <w:rsid w:val="003E66DB"/>
    <w:rsid w:val="003F04F2"/>
    <w:rsid w:val="00403925"/>
    <w:rsid w:val="00452526"/>
    <w:rsid w:val="004923F1"/>
    <w:rsid w:val="00526C38"/>
    <w:rsid w:val="00554951"/>
    <w:rsid w:val="005732AA"/>
    <w:rsid w:val="00620411"/>
    <w:rsid w:val="00620FB9"/>
    <w:rsid w:val="00625F10"/>
    <w:rsid w:val="00632CCA"/>
    <w:rsid w:val="006546D3"/>
    <w:rsid w:val="00656C0B"/>
    <w:rsid w:val="00667805"/>
    <w:rsid w:val="006C2230"/>
    <w:rsid w:val="006F0A03"/>
    <w:rsid w:val="00761773"/>
    <w:rsid w:val="007770E3"/>
    <w:rsid w:val="00844F71"/>
    <w:rsid w:val="0086051C"/>
    <w:rsid w:val="0088562F"/>
    <w:rsid w:val="008A00BF"/>
    <w:rsid w:val="008D015B"/>
    <w:rsid w:val="008D3CB1"/>
    <w:rsid w:val="00910069"/>
    <w:rsid w:val="009832C0"/>
    <w:rsid w:val="009871CB"/>
    <w:rsid w:val="00A5357F"/>
    <w:rsid w:val="00A76B73"/>
    <w:rsid w:val="00A976D9"/>
    <w:rsid w:val="00AB6B35"/>
    <w:rsid w:val="00AD60C7"/>
    <w:rsid w:val="00AE2EA7"/>
    <w:rsid w:val="00B154E8"/>
    <w:rsid w:val="00B356D0"/>
    <w:rsid w:val="00BE329C"/>
    <w:rsid w:val="00BE449C"/>
    <w:rsid w:val="00C139BE"/>
    <w:rsid w:val="00C13FD3"/>
    <w:rsid w:val="00C86ED9"/>
    <w:rsid w:val="00C95B9A"/>
    <w:rsid w:val="00CE0875"/>
    <w:rsid w:val="00D06EDA"/>
    <w:rsid w:val="00D679F7"/>
    <w:rsid w:val="00DD5974"/>
    <w:rsid w:val="00E03248"/>
    <w:rsid w:val="00E55469"/>
    <w:rsid w:val="00E55F1A"/>
    <w:rsid w:val="00E57EBC"/>
    <w:rsid w:val="00E81889"/>
    <w:rsid w:val="00E82A2B"/>
    <w:rsid w:val="00E84D59"/>
    <w:rsid w:val="00EA4D5F"/>
    <w:rsid w:val="00EB2B01"/>
    <w:rsid w:val="00EB68EB"/>
    <w:rsid w:val="00F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14406"/>
  <w15:chartTrackingRefBased/>
  <w15:docId w15:val="{76CF88B8-3325-044B-9628-999F676F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6E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6ED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67805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25F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F10"/>
  </w:style>
  <w:style w:type="paragraph" w:styleId="Pidipagina">
    <w:name w:val="footer"/>
    <w:basedOn w:val="Normale"/>
    <w:link w:val="PidipaginaCarattere"/>
    <w:uiPriority w:val="99"/>
    <w:unhideWhenUsed/>
    <w:rsid w:val="00625F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4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wmTHK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Capuano</dc:creator>
  <cp:keywords/>
  <dc:description/>
  <cp:lastModifiedBy>Marco Pivato</cp:lastModifiedBy>
  <cp:revision>5</cp:revision>
  <dcterms:created xsi:type="dcterms:W3CDTF">2021-05-19T15:56:00Z</dcterms:created>
  <dcterms:modified xsi:type="dcterms:W3CDTF">2021-05-24T08:44:00Z</dcterms:modified>
</cp:coreProperties>
</file>